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Xd82bed8b03ca98774d598e5077b89f44a56ef21"/>
    <w:p>
      <w:pPr>
        <w:pStyle w:val="Heading1"/>
      </w:pPr>
      <w:r>
        <w:t xml:space="preserve">CONSENTIMIENTO INFORMADO PARA PRUEBA DE PROVOCACIÓN NASAL ESPECÍFICA</w:t>
      </w:r>
    </w:p>
    <w:p>
      <w:pPr>
        <w:pStyle w:val="FirstParagraph"/>
      </w:pPr>
      <w:r>
        <w:t xml:space="preserve">D./Dña.: …………………………………………………, con DNI/Pasaporte nº ………………. en calidad de paciente o, en su defecto, D./Dña. …………………………………………. con DNI/Pasaporte nº …………………… como representante legal y/o tutor del paciente, mayor de edad y en pleno uso de mis facultades,</w:t>
      </w:r>
    </w:p>
    <w:p>
      <w:pPr>
        <w:pStyle w:val="BodyText"/>
      </w:pPr>
      <w:r>
        <w:t xml:space="preserve">MANIFIESTO:</w:t>
      </w:r>
    </w:p>
    <w:p>
      <w:pPr>
        <w:pStyle w:val="BodyText"/>
      </w:pPr>
      <w:r>
        <w:t xml:space="preserve">Que he sido informado/a de forma clara, comprensible y suficiente por el/la Dr./Dra. ……………………………………………, adscrito/a al Servicio/Unidad de ……………………………………, sobre la naturaleza, objetivos, procedimiento, beneficios esperados, riesgos, posibles complicaciones y alternativas a la prueba propuesta.</w:t>
      </w:r>
    </w:p>
    <w:p>
      <w:r>
        <w:pict>
          <v:rect style="width:0;height:1.5pt" o:hralign="center" o:hrstd="t" o:hr="t"/>
        </w:pict>
      </w:r>
    </w:p>
    <w:bookmarkStart w:id="20" w:name="en-qué-consiste-esta-prueba"/>
    <w:p>
      <w:pPr>
        <w:pStyle w:val="Heading2"/>
      </w:pPr>
      <w:r>
        <w:t xml:space="preserve">¿EN QUÉ CONSISTE ESTA PRUEBA?</w:t>
      </w:r>
    </w:p>
    <w:p>
      <w:pPr>
        <w:pStyle w:val="FirstParagraph"/>
      </w:pPr>
      <w:r>
        <w:t xml:space="preserve">La prueba de provocación nasal específica es una técnica diagnóstica utilizada para determinar si una sustancia concreta (alérgeno) es responsable de los síntomas nasales y/o respiratorios del paciente.</w:t>
      </w:r>
    </w:p>
    <w:p>
      <w:pPr>
        <w:pStyle w:val="BodyText"/>
      </w:pPr>
      <w:r>
        <w:t xml:space="preserve">La prueba consiste en la administración controlada y progresiva del alérgeno sospechoso sobre la mucosa nasal, bajo supervisión médica especializada.</w:t>
      </w:r>
    </w:p>
    <w:p>
      <w:pPr>
        <w:pStyle w:val="BodyText"/>
      </w:pPr>
      <w:r>
        <w:t xml:space="preserve">Puede realizarse con distintos tipos de alérgenos, entre ellos:</w:t>
      </w:r>
    </w:p>
    <w:p>
      <w:pPr>
        <w:pStyle w:val="Compact"/>
        <w:numPr>
          <w:ilvl w:val="0"/>
          <w:numId w:val="1001"/>
        </w:numPr>
      </w:pPr>
      <w:r>
        <w:t xml:space="preserve">Pólenes.</w:t>
      </w:r>
    </w:p>
    <w:p>
      <w:pPr>
        <w:pStyle w:val="Compact"/>
        <w:numPr>
          <w:ilvl w:val="0"/>
          <w:numId w:val="1001"/>
        </w:numPr>
      </w:pPr>
      <w:r>
        <w:t xml:space="preserve">Ácaros del polvo.</w:t>
      </w:r>
    </w:p>
    <w:p>
      <w:pPr>
        <w:pStyle w:val="Compact"/>
        <w:numPr>
          <w:ilvl w:val="0"/>
          <w:numId w:val="1001"/>
        </w:numPr>
      </w:pPr>
      <w:r>
        <w:t xml:space="preserve">Hongos.</w:t>
      </w:r>
    </w:p>
    <w:p>
      <w:pPr>
        <w:pStyle w:val="Compact"/>
        <w:numPr>
          <w:ilvl w:val="0"/>
          <w:numId w:val="1001"/>
        </w:numPr>
      </w:pPr>
      <w:r>
        <w:t xml:space="preserve">Epitelios de animales.</w:t>
      </w:r>
    </w:p>
    <w:p>
      <w:pPr>
        <w:pStyle w:val="Compact"/>
        <w:numPr>
          <w:ilvl w:val="0"/>
          <w:numId w:val="1001"/>
        </w:numPr>
      </w:pPr>
      <w:r>
        <w:t xml:space="preserve">Medicamentos.</w:t>
      </w:r>
    </w:p>
    <w:p>
      <w:pPr>
        <w:pStyle w:val="Compact"/>
        <w:numPr>
          <w:ilvl w:val="0"/>
          <w:numId w:val="1001"/>
        </w:numPr>
      </w:pPr>
      <w:r>
        <w:t xml:space="preserve">Otras sustancias relacionadas con síntomas alérgicos.</w:t>
      </w:r>
    </w:p>
    <w:p>
      <w:pPr>
        <w:pStyle w:val="FirstParagraph"/>
      </w:pPr>
      <w:r>
        <w:t xml:space="preserve">Esta prueba puede permitir:</w:t>
      </w:r>
    </w:p>
    <w:p>
      <w:pPr>
        <w:pStyle w:val="Compact"/>
        <w:numPr>
          <w:ilvl w:val="0"/>
          <w:numId w:val="1002"/>
        </w:numPr>
      </w:pPr>
      <w:r>
        <w:t xml:space="preserve">Confirmar o descartar alergia frente a un alérgeno determinado.</w:t>
      </w:r>
    </w:p>
    <w:p>
      <w:pPr>
        <w:pStyle w:val="Compact"/>
        <w:numPr>
          <w:ilvl w:val="0"/>
          <w:numId w:val="1002"/>
        </w:numPr>
      </w:pPr>
      <w:r>
        <w:t xml:space="preserve">Valorar la relevancia clínica de una sensibilización detectada previamente.</w:t>
      </w:r>
    </w:p>
    <w:p>
      <w:pPr>
        <w:pStyle w:val="Compact"/>
        <w:numPr>
          <w:ilvl w:val="0"/>
          <w:numId w:val="1002"/>
        </w:numPr>
      </w:pPr>
      <w:r>
        <w:t xml:space="preserve">Relacionar un alérgeno concreto con los síntomas del paciente.</w:t>
      </w:r>
    </w:p>
    <w:p>
      <w:pPr>
        <w:pStyle w:val="Compact"/>
        <w:numPr>
          <w:ilvl w:val="0"/>
          <w:numId w:val="1002"/>
        </w:numPr>
      </w:pPr>
      <w:r>
        <w:t xml:space="preserve">Evaluar la respuesta al tratamiento con inmunoterapia específica.</w:t>
      </w:r>
    </w:p>
    <w:p>
      <w:pPr>
        <w:pStyle w:val="FirstParagraph"/>
      </w:pPr>
      <w:r>
        <w:t xml:space="preserve">La prueba se realiza siempre en un entorno sanitario preparado para el tratamiento inmediato de posibles reacciones adversas.</w:t>
      </w:r>
    </w:p>
    <w:p>
      <w:r>
        <w:pict>
          <v:rect style="width:0;height:1.5pt" o:hralign="center" o:hrstd="t" o:hr="t"/>
        </w:pict>
      </w:r>
    </w:p>
    <w:bookmarkEnd w:id="20"/>
    <w:bookmarkStart w:id="21" w:name="cómo-se-realiza"/>
    <w:p>
      <w:pPr>
        <w:pStyle w:val="Heading2"/>
      </w:pPr>
      <w:r>
        <w:t xml:space="preserve">¿CÓMO SE REALIZA?</w:t>
      </w:r>
    </w:p>
    <w:p>
      <w:pPr>
        <w:pStyle w:val="FirstParagraph"/>
      </w:pPr>
      <w:r>
        <w:t xml:space="preserve">Antes del inicio de la prueba, el paciente permanecerá en reposo durante un periodo aproximado de 15-30 minutos para adaptarse a las condiciones ambientales de la consulta.</w:t>
      </w:r>
    </w:p>
    <w:p>
      <w:pPr>
        <w:pStyle w:val="BodyText"/>
      </w:pPr>
      <w:r>
        <w:t xml:space="preserve">Inicialmente se realizará una valoración clínica basal, incluyendo:</w:t>
      </w:r>
    </w:p>
    <w:p>
      <w:pPr>
        <w:pStyle w:val="Compact"/>
        <w:numPr>
          <w:ilvl w:val="0"/>
          <w:numId w:val="1003"/>
        </w:numPr>
      </w:pPr>
      <w:r>
        <w:t xml:space="preserve">Intensidad de síntomas nasales y/o oculares.</w:t>
      </w:r>
    </w:p>
    <w:p>
      <w:pPr>
        <w:pStyle w:val="Compact"/>
        <w:numPr>
          <w:ilvl w:val="0"/>
          <w:numId w:val="1003"/>
        </w:numPr>
      </w:pPr>
      <w:r>
        <w:t xml:space="preserve">Exploración funcional nasal mediante rinometría u otras técnicas.</w:t>
      </w:r>
    </w:p>
    <w:p>
      <w:pPr>
        <w:pStyle w:val="Compact"/>
        <w:numPr>
          <w:ilvl w:val="0"/>
          <w:numId w:val="1003"/>
        </w:numPr>
      </w:pPr>
      <w:r>
        <w:t xml:space="preserve">En algunos casos, valoración de función pulmonar mediante espirometría.</w:t>
      </w:r>
    </w:p>
    <w:p>
      <w:pPr>
        <w:pStyle w:val="FirstParagraph"/>
      </w:pPr>
      <w:r>
        <w:t xml:space="preserve">Posteriormente se administrará inicialmente una solución control (suero fisiológico), seguida de cantidades progresivamente crecientes del alérgeno sospechoso mediante aplicación nasal.</w:t>
      </w:r>
    </w:p>
    <w:p>
      <w:pPr>
        <w:pStyle w:val="BodyText"/>
      </w:pPr>
      <w:r>
        <w:t xml:space="preserve">Durante el procedimiento se vigilará la aparición de síntomas como:</w:t>
      </w:r>
    </w:p>
    <w:p>
      <w:pPr>
        <w:pStyle w:val="Compact"/>
        <w:numPr>
          <w:ilvl w:val="0"/>
          <w:numId w:val="1004"/>
        </w:numPr>
      </w:pPr>
      <w:r>
        <w:t xml:space="preserve">Estornudos.</w:t>
      </w:r>
    </w:p>
    <w:p>
      <w:pPr>
        <w:pStyle w:val="Compact"/>
        <w:numPr>
          <w:ilvl w:val="0"/>
          <w:numId w:val="1004"/>
        </w:numPr>
      </w:pPr>
      <w:r>
        <w:t xml:space="preserve">Rinorrea.</w:t>
      </w:r>
    </w:p>
    <w:p>
      <w:pPr>
        <w:pStyle w:val="Compact"/>
        <w:numPr>
          <w:ilvl w:val="0"/>
          <w:numId w:val="1004"/>
        </w:numPr>
      </w:pPr>
      <w:r>
        <w:t xml:space="preserve">Congestión nasal.</w:t>
      </w:r>
    </w:p>
    <w:p>
      <w:pPr>
        <w:pStyle w:val="Compact"/>
        <w:numPr>
          <w:ilvl w:val="0"/>
          <w:numId w:val="1004"/>
        </w:numPr>
      </w:pPr>
      <w:r>
        <w:t xml:space="preserve">Picor nasal.</w:t>
      </w:r>
    </w:p>
    <w:p>
      <w:pPr>
        <w:pStyle w:val="Compact"/>
        <w:numPr>
          <w:ilvl w:val="0"/>
          <w:numId w:val="1004"/>
        </w:numPr>
      </w:pPr>
      <w:r>
        <w:t xml:space="preserve">Tos.</w:t>
      </w:r>
    </w:p>
    <w:p>
      <w:pPr>
        <w:pStyle w:val="Compact"/>
        <w:numPr>
          <w:ilvl w:val="0"/>
          <w:numId w:val="1004"/>
        </w:numPr>
      </w:pPr>
      <w:r>
        <w:t xml:space="preserve">Opresión torácica.</w:t>
      </w:r>
    </w:p>
    <w:p>
      <w:pPr>
        <w:pStyle w:val="Compact"/>
        <w:numPr>
          <w:ilvl w:val="0"/>
          <w:numId w:val="1004"/>
        </w:numPr>
      </w:pPr>
      <w:r>
        <w:t xml:space="preserve">Dificultad respiratoria.</w:t>
      </w:r>
    </w:p>
    <w:p>
      <w:pPr>
        <w:pStyle w:val="FirstParagraph"/>
      </w:pPr>
      <w:r>
        <w:t xml:space="preserve">La prueba podrá suspenderse en cualquier momento si aparecen síntomas relevantes o alteraciones funcionales significativas.</w:t>
      </w:r>
    </w:p>
    <w:p>
      <w:pPr>
        <w:pStyle w:val="BodyText"/>
      </w:pPr>
      <w:r>
        <w:t xml:space="preserve">En caso necesario podrá administrarse tratamiento farmacológico para controlar los síntomas.</w:t>
      </w:r>
    </w:p>
    <w:p>
      <w:pPr>
        <w:pStyle w:val="BodyText"/>
      </w:pPr>
      <w:r>
        <w:t xml:space="preserve">La duración habitual de la prueba es de aproximadamente dos horas, pudiendo prolongarse el periodo de observación si fuese necesario.</w:t>
      </w:r>
    </w:p>
    <w:p>
      <w:pPr>
        <w:pStyle w:val="BodyText"/>
      </w:pPr>
      <w:r>
        <w:t xml:space="preserve">El paciente debe informar previamente sobre:</w:t>
      </w:r>
    </w:p>
    <w:p>
      <w:pPr>
        <w:pStyle w:val="Compact"/>
        <w:numPr>
          <w:ilvl w:val="0"/>
          <w:numId w:val="1005"/>
        </w:numPr>
      </w:pPr>
      <w:r>
        <w:t xml:space="preserve">Medicación habitual.</w:t>
      </w:r>
    </w:p>
    <w:p>
      <w:pPr>
        <w:pStyle w:val="Compact"/>
        <w:numPr>
          <w:ilvl w:val="0"/>
          <w:numId w:val="1005"/>
        </w:numPr>
      </w:pPr>
      <w:r>
        <w:t xml:space="preserve">Enfermedades respiratorias o cardiacas.</w:t>
      </w:r>
    </w:p>
    <w:p>
      <w:pPr>
        <w:pStyle w:val="Compact"/>
        <w:numPr>
          <w:ilvl w:val="0"/>
          <w:numId w:val="1005"/>
        </w:numPr>
      </w:pPr>
      <w:r>
        <w:t xml:space="preserve">Embarazo o lactancia.</w:t>
      </w:r>
    </w:p>
    <w:p>
      <w:pPr>
        <w:pStyle w:val="Compact"/>
        <w:numPr>
          <w:ilvl w:val="0"/>
          <w:numId w:val="1005"/>
        </w:numPr>
      </w:pPr>
      <w:r>
        <w:t xml:space="preserve">Antecedentes de reacciones graves.</w:t>
      </w:r>
    </w:p>
    <w:p>
      <w:pPr>
        <w:pStyle w:val="Compact"/>
        <w:numPr>
          <w:ilvl w:val="0"/>
          <w:numId w:val="1005"/>
        </w:numPr>
      </w:pPr>
      <w:r>
        <w:t xml:space="preserve">Alteraciones de la coagulación.</w:t>
      </w:r>
    </w:p>
    <w:p>
      <w:pPr>
        <w:pStyle w:val="Compact"/>
        <w:numPr>
          <w:ilvl w:val="0"/>
          <w:numId w:val="1005"/>
        </w:numPr>
      </w:pPr>
      <w:r>
        <w:t xml:space="preserve">Cualquier otra circunstancia clínica relevante.</w:t>
      </w:r>
    </w:p>
    <w:p>
      <w:r>
        <w:pict>
          <v:rect style="width:0;height:1.5pt" o:hralign="center" o:hrstd="t" o:hr="t"/>
        </w:pict>
      </w:r>
    </w:p>
    <w:bookmarkEnd w:id="21"/>
    <w:bookmarkStart w:id="22" w:name="para-qué-sirve"/>
    <w:p>
      <w:pPr>
        <w:pStyle w:val="Heading2"/>
      </w:pPr>
      <w:r>
        <w:t xml:space="preserve">¿PARA QUÉ SIRVE?</w:t>
      </w:r>
    </w:p>
    <w:p>
      <w:pPr>
        <w:pStyle w:val="Compact"/>
        <w:numPr>
          <w:ilvl w:val="0"/>
          <w:numId w:val="1006"/>
        </w:numPr>
      </w:pPr>
      <w:r>
        <w:t xml:space="preserve">Confirmar o excluir alergia frente a un alérgeno concreto.</w:t>
      </w:r>
    </w:p>
    <w:p>
      <w:pPr>
        <w:pStyle w:val="Compact"/>
        <w:numPr>
          <w:ilvl w:val="0"/>
          <w:numId w:val="1006"/>
        </w:numPr>
      </w:pPr>
      <w:r>
        <w:t xml:space="preserve">Determinar la relevancia clínica de una sensibilización.</w:t>
      </w:r>
    </w:p>
    <w:p>
      <w:pPr>
        <w:pStyle w:val="Compact"/>
        <w:numPr>
          <w:ilvl w:val="0"/>
          <w:numId w:val="1006"/>
        </w:numPr>
      </w:pPr>
      <w:r>
        <w:t xml:space="preserve">Relacionar síntomas nasales con una causa alérgica específica.</w:t>
      </w:r>
    </w:p>
    <w:p>
      <w:pPr>
        <w:pStyle w:val="Compact"/>
        <w:numPr>
          <w:ilvl w:val="0"/>
          <w:numId w:val="1006"/>
        </w:numPr>
      </w:pPr>
      <w:r>
        <w:t xml:space="preserve">Valorar la eficacia de la inmunoterapia específica.</w:t>
      </w:r>
    </w:p>
    <w:p>
      <w:pPr>
        <w:pStyle w:val="Compact"/>
        <w:numPr>
          <w:ilvl w:val="0"/>
          <w:numId w:val="1006"/>
        </w:numPr>
      </w:pPr>
      <w:r>
        <w:t xml:space="preserve">Orientar medidas de evitación y tratamiento.</w:t>
      </w:r>
    </w:p>
    <w:p>
      <w:r>
        <w:pict>
          <v:rect style="width:0;height:1.5pt" o:hralign="center" o:hrstd="t" o:hr="t"/>
        </w:pict>
      </w:r>
    </w:p>
    <w:bookmarkEnd w:id="22"/>
    <w:bookmarkStart w:id="26" w:name="riesgos-y-posibles-complicaciones"/>
    <w:p>
      <w:pPr>
        <w:pStyle w:val="Heading2"/>
      </w:pPr>
      <w:r>
        <w:t xml:space="preserve">RIESGOS Y POSIBLES COMPLICACIONES</w:t>
      </w:r>
    </w:p>
    <w:p>
      <w:pPr>
        <w:pStyle w:val="FirstParagraph"/>
      </w:pPr>
      <w:r>
        <w:t xml:space="preserve">La prueba de provocación nasal específica no está exenta de riesgos, aunque la mayoría de las reacciones son leves y transitorias.</w:t>
      </w:r>
    </w:p>
    <w:bookmarkStart w:id="23" w:name="efectos-frecuentes-y-generalmente-leves"/>
    <w:p>
      <w:pPr>
        <w:pStyle w:val="Heading3"/>
      </w:pPr>
      <w:r>
        <w:t xml:space="preserve">Efectos frecuentes y generalmente leves:</w:t>
      </w:r>
    </w:p>
    <w:p>
      <w:pPr>
        <w:pStyle w:val="Compact"/>
        <w:numPr>
          <w:ilvl w:val="0"/>
          <w:numId w:val="1007"/>
        </w:numPr>
      </w:pPr>
      <w:r>
        <w:t xml:space="preserve">Estornudos.</w:t>
      </w:r>
    </w:p>
    <w:p>
      <w:pPr>
        <w:pStyle w:val="Compact"/>
        <w:numPr>
          <w:ilvl w:val="0"/>
          <w:numId w:val="1007"/>
        </w:numPr>
      </w:pPr>
      <w:r>
        <w:t xml:space="preserve">Rinorrea o mucosidad nasal.</w:t>
      </w:r>
    </w:p>
    <w:p>
      <w:pPr>
        <w:pStyle w:val="Compact"/>
        <w:numPr>
          <w:ilvl w:val="0"/>
          <w:numId w:val="1007"/>
        </w:numPr>
      </w:pPr>
      <w:r>
        <w:t xml:space="preserve">Congestión u obstrucción nasal.</w:t>
      </w:r>
    </w:p>
    <w:p>
      <w:pPr>
        <w:pStyle w:val="Compact"/>
        <w:numPr>
          <w:ilvl w:val="0"/>
          <w:numId w:val="1007"/>
        </w:numPr>
      </w:pPr>
      <w:r>
        <w:t xml:space="preserve">Picor nasal.</w:t>
      </w:r>
    </w:p>
    <w:p>
      <w:pPr>
        <w:pStyle w:val="Compact"/>
        <w:numPr>
          <w:ilvl w:val="0"/>
          <w:numId w:val="1007"/>
        </w:numPr>
      </w:pPr>
      <w:r>
        <w:t xml:space="preserve">Tos leve.</w:t>
      </w:r>
    </w:p>
    <w:p>
      <w:pPr>
        <w:pStyle w:val="Compact"/>
        <w:numPr>
          <w:ilvl w:val="0"/>
          <w:numId w:val="1007"/>
        </w:numPr>
      </w:pPr>
      <w:r>
        <w:t xml:space="preserve">Opresión torácica leve.</w:t>
      </w:r>
    </w:p>
    <w:p>
      <w:pPr>
        <w:pStyle w:val="Compact"/>
        <w:numPr>
          <w:ilvl w:val="0"/>
          <w:numId w:val="1007"/>
        </w:numPr>
      </w:pPr>
      <w:r>
        <w:t xml:space="preserve">Molestias respiratorias transitorias.</w:t>
      </w:r>
    </w:p>
    <w:p>
      <w:pPr>
        <w:pStyle w:val="Compact"/>
        <w:numPr>
          <w:ilvl w:val="0"/>
          <w:numId w:val="1007"/>
        </w:numPr>
      </w:pPr>
      <w:r>
        <w:t xml:space="preserve">Mareo o reacción vasovagal.</w:t>
      </w:r>
    </w:p>
    <w:p>
      <w:pPr>
        <w:pStyle w:val="FirstParagraph"/>
      </w:pPr>
      <w:r>
        <w:t xml:space="preserve">Estas molestias suelen desaparecer en pocas horas tras la finalización de la prueba.</w:t>
      </w:r>
    </w:p>
    <w:bookmarkEnd w:id="23"/>
    <w:bookmarkStart w:id="24" w:name="X303920790e78226db447920d1ca7d0ae680292f"/>
    <w:p>
      <w:pPr>
        <w:pStyle w:val="Heading3"/>
      </w:pPr>
      <w:r>
        <w:t xml:space="preserve">Efectos menos frecuentes y potencialmente graves:</w:t>
      </w:r>
    </w:p>
    <w:p>
      <w:pPr>
        <w:pStyle w:val="Compact"/>
        <w:numPr>
          <w:ilvl w:val="0"/>
          <w:numId w:val="1008"/>
        </w:numPr>
      </w:pPr>
      <w:r>
        <w:t xml:space="preserve">Broncoespasmo.</w:t>
      </w:r>
    </w:p>
    <w:p>
      <w:pPr>
        <w:pStyle w:val="Compact"/>
        <w:numPr>
          <w:ilvl w:val="0"/>
          <w:numId w:val="1008"/>
        </w:numPr>
      </w:pPr>
      <w:r>
        <w:t xml:space="preserve">Sibilancias o dificultad respiratoria.</w:t>
      </w:r>
    </w:p>
    <w:p>
      <w:pPr>
        <w:pStyle w:val="Compact"/>
        <w:numPr>
          <w:ilvl w:val="0"/>
          <w:numId w:val="1008"/>
        </w:numPr>
      </w:pPr>
      <w:r>
        <w:t xml:space="preserve">Descenso significativo de la función respiratoria.</w:t>
      </w:r>
    </w:p>
    <w:p>
      <w:pPr>
        <w:pStyle w:val="Compact"/>
        <w:numPr>
          <w:ilvl w:val="0"/>
          <w:numId w:val="1008"/>
        </w:numPr>
      </w:pPr>
      <w:r>
        <w:t xml:space="preserve">Necesidad de tratamiento farmacológico adicional.</w:t>
      </w:r>
    </w:p>
    <w:bookmarkEnd w:id="24"/>
    <w:bookmarkStart w:id="25" w:name="riesgos-graves-y-excepcionales"/>
    <w:p>
      <w:pPr>
        <w:pStyle w:val="Heading3"/>
      </w:pPr>
      <w:r>
        <w:t xml:space="preserve">Riesgos graves y excepcionales:</w:t>
      </w:r>
    </w:p>
    <w:p>
      <w:pPr>
        <w:pStyle w:val="Compact"/>
        <w:numPr>
          <w:ilvl w:val="0"/>
          <w:numId w:val="1009"/>
        </w:numPr>
      </w:pPr>
      <w:r>
        <w:t xml:space="preserve">Crisis asmática importante.</w:t>
      </w:r>
    </w:p>
    <w:p>
      <w:pPr>
        <w:pStyle w:val="Compact"/>
        <w:numPr>
          <w:ilvl w:val="0"/>
          <w:numId w:val="1009"/>
        </w:numPr>
      </w:pPr>
      <w:r>
        <w:t xml:space="preserve">Reacción anafiláctica.</w:t>
      </w:r>
    </w:p>
    <w:p>
      <w:pPr>
        <w:pStyle w:val="Compact"/>
        <w:numPr>
          <w:ilvl w:val="0"/>
          <w:numId w:val="1009"/>
        </w:numPr>
      </w:pPr>
      <w:r>
        <w:t xml:space="preserve">Hipotensión.</w:t>
      </w:r>
    </w:p>
    <w:p>
      <w:pPr>
        <w:pStyle w:val="Compact"/>
        <w:numPr>
          <w:ilvl w:val="0"/>
          <w:numId w:val="1009"/>
        </w:numPr>
      </w:pPr>
      <w:r>
        <w:t xml:space="preserve">Pérdida de conocimiento.</w:t>
      </w:r>
    </w:p>
    <w:p>
      <w:pPr>
        <w:pStyle w:val="Compact"/>
        <w:numPr>
          <w:ilvl w:val="0"/>
          <w:numId w:val="1009"/>
        </w:numPr>
      </w:pPr>
      <w:r>
        <w:t xml:space="preserve">Convulsiones.</w:t>
      </w:r>
    </w:p>
    <w:p>
      <w:pPr>
        <w:pStyle w:val="Compact"/>
        <w:numPr>
          <w:ilvl w:val="0"/>
          <w:numId w:val="1009"/>
        </w:numPr>
      </w:pPr>
      <w:r>
        <w:t xml:space="preserve">Parada cardiorrespiratoria.</w:t>
      </w:r>
    </w:p>
    <w:p>
      <w:pPr>
        <w:pStyle w:val="FirstParagraph"/>
      </w:pPr>
      <w:r>
        <w:t xml:space="preserve">El personal sanitario dispone de medicación y medios adecuados para el tratamiento inmediato de estas complicaciones.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riesgos-personalizados"/>
    <w:p>
      <w:pPr>
        <w:pStyle w:val="Heading2"/>
      </w:pPr>
      <w:r>
        <w:t xml:space="preserve">RIESGOS PERSONALIZADOS</w:t>
      </w:r>
    </w:p>
    <w:p>
      <w:pPr>
        <w:pStyle w:val="FirstParagraph"/>
      </w:pPr>
      <w:r>
        <w:t xml:space="preserve">Algunas circunstancias pueden aumentar el riesgo o gravedad de las reacciones:</w:t>
      </w:r>
    </w:p>
    <w:p>
      <w:pPr>
        <w:pStyle w:val="Compact"/>
        <w:numPr>
          <w:ilvl w:val="0"/>
          <w:numId w:val="1010"/>
        </w:numPr>
      </w:pPr>
      <w:r>
        <w:t xml:space="preserve">Asma mal controlada.</w:t>
      </w:r>
    </w:p>
    <w:p>
      <w:pPr>
        <w:pStyle w:val="Compact"/>
        <w:numPr>
          <w:ilvl w:val="0"/>
          <w:numId w:val="1010"/>
        </w:numPr>
      </w:pPr>
      <w:r>
        <w:t xml:space="preserve">Enfermedades cardiopulmonares.</w:t>
      </w:r>
    </w:p>
    <w:p>
      <w:pPr>
        <w:pStyle w:val="Compact"/>
        <w:numPr>
          <w:ilvl w:val="0"/>
          <w:numId w:val="1010"/>
        </w:numPr>
      </w:pPr>
      <w:r>
        <w:t xml:space="preserve">Infecciones respiratorias intercurrentes.</w:t>
      </w:r>
    </w:p>
    <w:p>
      <w:pPr>
        <w:pStyle w:val="Compact"/>
        <w:numPr>
          <w:ilvl w:val="0"/>
          <w:numId w:val="1010"/>
        </w:numPr>
      </w:pPr>
      <w:r>
        <w:t xml:space="preserve">Tratamientos concomitantes.</w:t>
      </w:r>
    </w:p>
    <w:p>
      <w:pPr>
        <w:pStyle w:val="Compact"/>
        <w:numPr>
          <w:ilvl w:val="0"/>
          <w:numId w:val="1010"/>
        </w:numPr>
      </w:pPr>
      <w:r>
        <w:t xml:space="preserve">Alteraciones de la coagulación.</w:t>
      </w:r>
    </w:p>
    <w:p>
      <w:pPr>
        <w:pStyle w:val="Compact"/>
        <w:numPr>
          <w:ilvl w:val="0"/>
          <w:numId w:val="1010"/>
        </w:numPr>
      </w:pPr>
      <w:r>
        <w:t xml:space="preserve">Embarazo o lactancia.</w:t>
      </w:r>
    </w:p>
    <w:p>
      <w:pPr>
        <w:pStyle w:val="Compact"/>
        <w:numPr>
          <w:ilvl w:val="0"/>
          <w:numId w:val="1010"/>
        </w:numPr>
      </w:pPr>
      <w:r>
        <w:t xml:space="preserve">Antecedentes de reacciones graves.</w:t>
      </w:r>
    </w:p>
    <w:p>
      <w:pPr>
        <w:pStyle w:val="FirstParagraph"/>
      </w:pPr>
      <w:r>
        <w:t xml:space="preserve">Determinados medicamentos pueden interferir en la realización o interpretación de la prueba.</w:t>
      </w:r>
    </w:p>
    <w:p>
      <w:pPr>
        <w:pStyle w:val="BodyText"/>
      </w:pPr>
      <w:r>
        <w:t xml:space="preserve">El paciente debe comunicar cualquier enfermedad relevante o tratamiento en curso.</w:t>
      </w:r>
    </w:p>
    <w:p>
      <w:r>
        <w:pict>
          <v:rect style="width:0;height:1.5pt" o:hralign="center" o:hrstd="t" o:hr="t"/>
        </w:pict>
      </w:r>
    </w:p>
    <w:bookmarkEnd w:id="27"/>
    <w:bookmarkStart w:id="28" w:name="alternativas"/>
    <w:p>
      <w:pPr>
        <w:pStyle w:val="Heading2"/>
      </w:pPr>
      <w:r>
        <w:t xml:space="preserve">ALTERNATIVAS</w:t>
      </w:r>
    </w:p>
    <w:p>
      <w:pPr>
        <w:pStyle w:val="FirstParagraph"/>
      </w:pPr>
      <w:r>
        <w:t xml:space="preserve">No existe una alternativa diagnóstica que reproduzca exactamente la respuesta clínica nasal frente al alérgeno sospechoso.</w:t>
      </w:r>
    </w:p>
    <w:p>
      <w:pPr>
        <w:pStyle w:val="BodyText"/>
      </w:pPr>
      <w:r>
        <w:t xml:space="preserve">La alternativa consiste en valorar el diagnóstico mediante la historia clínica, pruebas cutáneas y determinaciones analíticas, así como mantener medidas de evitación y tratamiento sintomático.</w:t>
      </w:r>
    </w:p>
    <w:p>
      <w:r>
        <w:pict>
          <v:rect style="width:0;height:1.5pt" o:hralign="center" o:hrstd="t" o:hr="t"/>
        </w:pict>
      </w:r>
    </w:p>
    <w:bookmarkEnd w:id="28"/>
    <w:bookmarkStart w:id="29" w:name="otras-consideraciones"/>
    <w:p>
      <w:pPr>
        <w:pStyle w:val="Heading2"/>
      </w:pPr>
      <w:r>
        <w:t xml:space="preserve">OTRAS CONSIDERACIONES</w:t>
      </w:r>
    </w:p>
    <w:p>
      <w:pPr>
        <w:pStyle w:val="FirstParagraph"/>
      </w:pPr>
      <w:r>
        <w:t xml:space="preserve">Durante el procedimiento pueden surgir situaciones imprevistas que requieran modificar la pauta inicialmente prevista, ampliar el periodo de observación o suspender la prueba por motivos de seguridad.</w:t>
      </w:r>
    </w:p>
    <w:p>
      <w:r>
        <w:pict>
          <v:rect style="width:0;height:1.5pt" o:hralign="center" o:hrstd="t" o:hr="t"/>
        </w:pict>
      </w:r>
    </w:p>
    <w:bookmarkEnd w:id="29"/>
    <w:bookmarkStart w:id="30" w:name="declaraciones"/>
    <w:p>
      <w:pPr>
        <w:pStyle w:val="Heading2"/>
      </w:pPr>
      <w:r>
        <w:t xml:space="preserve">DECLARACIONES</w:t>
      </w:r>
    </w:p>
    <w:p>
      <w:pPr>
        <w:pStyle w:val="Compact"/>
        <w:numPr>
          <w:ilvl w:val="0"/>
          <w:numId w:val="1011"/>
        </w:numPr>
      </w:pPr>
      <w:r>
        <w:t xml:space="preserve">He comprendido la información recibida y he podido formular todas las preguntas necesarias, que han sido adecuadamente respondidas.</w:t>
      </w:r>
    </w:p>
    <w:p>
      <w:pPr>
        <w:pStyle w:val="Compact"/>
        <w:numPr>
          <w:ilvl w:val="0"/>
          <w:numId w:val="1011"/>
        </w:numPr>
      </w:pPr>
      <w:r>
        <w:t xml:space="preserve">He sido informado/a de los beneficios, limitaciones y riesgos del procedimiento.</w:t>
      </w:r>
    </w:p>
    <w:p>
      <w:pPr>
        <w:pStyle w:val="Compact"/>
        <w:numPr>
          <w:ilvl w:val="0"/>
          <w:numId w:val="1011"/>
        </w:numPr>
      </w:pPr>
      <w:r>
        <w:t xml:space="preserve">Sé que puedo revocar este consentimiento en cualquier momento, sin necesidad de justificación.</w:t>
      </w:r>
    </w:p>
    <w:p>
      <w:pPr>
        <w:pStyle w:val="FirstParagraph"/>
      </w:pPr>
      <w:r>
        <w:t xml:space="preserve">He recibido copia del presente documento.</w:t>
      </w:r>
    </w:p>
    <w:p>
      <w:pPr>
        <w:pStyle w:val="BodyText"/>
      </w:pPr>
      <w:r>
        <w:t xml:space="preserve">En consecuencia, CONSIENTO la realización del procedimiento descrito.</w:t>
      </w:r>
    </w:p>
    <w:p>
      <w:pPr>
        <w:pStyle w:val="BodyText"/>
      </w:pPr>
      <w:r>
        <w:t xml:space="preserve">En ……………………………………, a …… de …………………… de 20……</w:t>
      </w:r>
    </w:p>
    <w:p>
      <w:pPr>
        <w:pStyle w:val="BodyText"/>
      </w:pPr>
      <w:r>
        <w:t xml:space="preserve">EL/LA PACIENTE</w:t>
      </w:r>
      <w:r>
        <w:br/>
      </w:r>
      <w:r>
        <w:t xml:space="preserve">Fdo.: ………………………………………</w:t>
      </w:r>
    </w:p>
    <w:p>
      <w:pPr>
        <w:pStyle w:val="BodyText"/>
      </w:pPr>
      <w:r>
        <w:t xml:space="preserve">EL/LA PROFESIONAL QUE INFORMA</w:t>
      </w:r>
      <w:r>
        <w:br/>
      </w:r>
      <w:r>
        <w:t xml:space="preserve">Fdo.: Dr./Dra. ……………………………………… Nº de colegiado: ………………</w:t>
      </w:r>
    </w:p>
    <w:p>
      <w:r>
        <w:pict>
          <v:rect style="width:0;height:1.5pt" o:hralign="center" o:hrstd="t" o:hr="t"/>
        </w:pict>
      </w:r>
    </w:p>
    <w:bookmarkEnd w:id="30"/>
    <w:bookmarkStart w:id="31" w:name="representante-legal-si-procede"/>
    <w:p>
      <w:pPr>
        <w:pStyle w:val="Heading2"/>
      </w:pPr>
      <w:r>
        <w:t xml:space="preserve">REPRESENTANTE LEGAL (si procede)</w:t>
      </w:r>
    </w:p>
    <w:p>
      <w:pPr>
        <w:pStyle w:val="FirstParagraph"/>
      </w:pPr>
      <w:r>
        <w:t xml:space="preserve">D./Dña. ……………………………………………………………………………………, con DNI nº …………………………, en calidad de ………………………………… del paciente,</w:t>
      </w:r>
    </w:p>
    <w:p>
      <w:pPr>
        <w:pStyle w:val="BodyText"/>
      </w:pPr>
      <w:r>
        <w:t xml:space="preserve">MANIFIESTA que comprende la información recibida y CONSIENTE el procedimiento.</w:t>
      </w:r>
    </w:p>
    <w:p>
      <w:pPr>
        <w:pStyle w:val="BodyText"/>
      </w:pPr>
      <w:r>
        <w:t xml:space="preserve">Fdo.: ………………………………………</w:t>
      </w:r>
    </w:p>
    <w:p>
      <w:r>
        <w:pict>
          <v:rect style="width:0;height:1.5pt" o:hralign="center" o:hrstd="t" o:hr="t"/>
        </w:pict>
      </w:r>
    </w:p>
    <w:bookmarkEnd w:id="31"/>
    <w:bookmarkStart w:id="32" w:name="revocación-del-consentimiento"/>
    <w:p>
      <w:pPr>
        <w:pStyle w:val="Heading2"/>
      </w:pPr>
      <w:r>
        <w:t xml:space="preserve">REVOCACIÓN DEL CONSENTIMIENTO</w:t>
      </w:r>
    </w:p>
    <w:p>
      <w:pPr>
        <w:pStyle w:val="FirstParagraph"/>
      </w:pPr>
      <w:r>
        <w:t xml:space="preserve">D./Dña. ……………………………………………………………………………………,</w:t>
      </w:r>
    </w:p>
    <w:p>
      <w:pPr>
        <w:pStyle w:val="BodyText"/>
      </w:pPr>
      <w:r>
        <w:t xml:space="preserve">REVOCO el consentimiento otorgado con fecha ………………… y no deseo continuar con el procedimiento.</w:t>
      </w:r>
    </w:p>
    <w:p>
      <w:pPr>
        <w:pStyle w:val="BodyText"/>
      </w:pPr>
      <w:r>
        <w:t xml:space="preserve">En ……………………………………, a …… de …………………… de 20……</w:t>
      </w:r>
    </w:p>
    <w:p>
      <w:pPr>
        <w:pStyle w:val="BodyText"/>
      </w:pPr>
      <w:r>
        <w:t xml:space="preserve">Fdo.: ………………………………………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2026-05-28T21:31:45Z</dcterms:created>
  <dcterms:modified xsi:type="dcterms:W3CDTF">2026-05-28T21:31:45Z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