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4" w:name="X9ef3de9b7892201e456a68646a57ea165863b28"/>
    <w:p>
      <w:pPr>
        <w:pStyle w:val="Heading1"/>
      </w:pPr>
      <w:r>
        <w:t xml:space="preserve">CONSENTIMIENTO INFORMADO PARA DESENSIBILIZACIÓN A FÁRMACOS</w:t>
      </w:r>
    </w:p>
    <w:p>
      <w:pPr>
        <w:pStyle w:val="FirstParagraph"/>
      </w:pPr>
      <w:r>
        <w:t xml:space="preserve">D./Dña.: …………………………………………………, con DNI/Pasaporte nº ………………. en calidad de paciente o, en su defecto, D./Dña. …………………………………………. con DNI/Pasaporte nº …………………… como representante legal y/o tutor del paciente, mayor de edad y en pleno uso de mis facultades,</w:t>
      </w:r>
    </w:p>
    <w:p>
      <w:pPr>
        <w:pStyle w:val="BodyText"/>
      </w:pPr>
      <w:r>
        <w:t xml:space="preserve">MANIFIESTO:</w:t>
      </w:r>
    </w:p>
    <w:p>
      <w:pPr>
        <w:pStyle w:val="BodyText"/>
      </w:pPr>
      <w:r>
        <w:t xml:space="preserve">Que he sido informado/a de forma clara, comprensible y suficiente por el/la Dr./Dra. ……………………………………………, adscrito/a al Servicio/Unidad de ……………………………………, sobre la naturaleza, objetivos, procedimiento, beneficios esperados, riesgos, posibles complicaciones y alternativas al procedimiento propuesto.</w:t>
      </w:r>
    </w:p>
    <w:p>
      <w:r>
        <w:pict>
          <v:rect style="width:0;height:1.5pt" o:hralign="center" o:hrstd="t" o:hr="t"/>
        </w:pict>
      </w:r>
    </w:p>
    <w:bookmarkStart w:id="20" w:name="en-qué-consiste-este-procedimiento"/>
    <w:p>
      <w:pPr>
        <w:pStyle w:val="Heading2"/>
      </w:pPr>
      <w:r>
        <w:t xml:space="preserve">¿EN QUÉ CONSISTE ESTE PROCEDIMIENTO?</w:t>
      </w:r>
    </w:p>
    <w:p>
      <w:pPr>
        <w:pStyle w:val="FirstParagraph"/>
      </w:pPr>
      <w:r>
        <w:t xml:space="preserve">La desensibilización a fármacos es un procedimiento médico indicado en pacientes con antecedentes de hipersensibilidad o alergia a un medicamento para el que no existe una alternativa terapéutica igual de eficaz, adecuada o disponible.</w:t>
      </w:r>
    </w:p>
    <w:p>
      <w:pPr>
        <w:pStyle w:val="BodyText"/>
      </w:pPr>
      <w:r>
        <w:t xml:space="preserve">El objetivo es inducir un estado temporal de tolerancia mediante la administración progresiva y controlada de dosis crecientes del medicamento implicado.</w:t>
      </w:r>
    </w:p>
    <w:p>
      <w:pPr>
        <w:pStyle w:val="BodyText"/>
      </w:pPr>
      <w:r>
        <w:t xml:space="preserve">La tolerancia conseguida suele ser transitoria y depende de la administración continuada del fármaco. Si el tratamiento se interrumpe durante un periodo suficiente, puede perderse dicha tolerancia y ser necesario repetir el procedimiento en futuras administraciones.</w:t>
      </w:r>
    </w:p>
    <w:p>
      <w:pPr>
        <w:pStyle w:val="BodyText"/>
      </w:pPr>
      <w:r>
        <w:t xml:space="preserve">La desensibilización no cura la alergia al medicamento.</w:t>
      </w:r>
    </w:p>
    <w:p>
      <w:r>
        <w:pict>
          <v:rect style="width:0;height:1.5pt" o:hralign="center" o:hrstd="t" o:hr="t"/>
        </w:pict>
      </w:r>
    </w:p>
    <w:bookmarkEnd w:id="20"/>
    <w:bookmarkStart w:id="21" w:name="cómo-se-realiza"/>
    <w:p>
      <w:pPr>
        <w:pStyle w:val="Heading2"/>
      </w:pPr>
      <w:r>
        <w:t xml:space="preserve">¿CÓMO SE REALIZA?</w:t>
      </w:r>
    </w:p>
    <w:p>
      <w:pPr>
        <w:pStyle w:val="FirstParagraph"/>
      </w:pPr>
      <w:r>
        <w:t xml:space="preserve">El procedimiento se lleva a cabo mediante la administración escalonada de dosis progresivamente crecientes del medicamento implicado, siguiendo protocolos específicos adaptados a cada caso.</w:t>
      </w:r>
    </w:p>
    <w:p>
      <w:pPr>
        <w:pStyle w:val="BodyText"/>
      </w:pPr>
      <w:r>
        <w:t xml:space="preserve">La desensibilización se realizará en un entorno sanitario preparado para el diagnóstico y tratamiento inmediato de posibles reacciones adversas.</w:t>
      </w:r>
    </w:p>
    <w:p>
      <w:pPr>
        <w:pStyle w:val="BodyText"/>
      </w:pPr>
      <w:r>
        <w:t xml:space="preserve">Durante el procedimiento:</w:t>
      </w:r>
    </w:p>
    <w:p>
      <w:pPr>
        <w:pStyle w:val="Compact"/>
        <w:numPr>
          <w:ilvl w:val="0"/>
          <w:numId w:val="1001"/>
        </w:numPr>
      </w:pPr>
      <w:r>
        <w:t xml:space="preserve">El paciente permanecerá monitorizado y bajo supervisión médica.</w:t>
      </w:r>
    </w:p>
    <w:p>
      <w:pPr>
        <w:pStyle w:val="Compact"/>
        <w:numPr>
          <w:ilvl w:val="0"/>
          <w:numId w:val="1001"/>
        </w:numPr>
      </w:pPr>
      <w:r>
        <w:t xml:space="preserve">Podrá ser necesario canalizar una vía venosa y administrar medicación preventiva o de rescate.</w:t>
      </w:r>
    </w:p>
    <w:p>
      <w:pPr>
        <w:pStyle w:val="Compact"/>
        <w:numPr>
          <w:ilvl w:val="0"/>
          <w:numId w:val="1001"/>
        </w:numPr>
      </w:pPr>
      <w:r>
        <w:t xml:space="preserve">La duración del procedimiento puede variar desde varias horas hasta más tiempo, según el protocolo utilizado.</w:t>
      </w:r>
    </w:p>
    <w:p>
      <w:pPr>
        <w:pStyle w:val="Compact"/>
        <w:numPr>
          <w:ilvl w:val="0"/>
          <w:numId w:val="1001"/>
        </w:numPr>
      </w:pPr>
      <w:r>
        <w:t xml:space="preserve">El procedimiento podrá interrumpirse temporal o definitivamente si aparecen reacciones significativas.</w:t>
      </w:r>
    </w:p>
    <w:p>
      <w:pPr>
        <w:pStyle w:val="FirstParagraph"/>
      </w:pPr>
      <w:r>
        <w:t xml:space="preserve">El paciente debe informar previamente sobre:</w:t>
      </w:r>
    </w:p>
    <w:p>
      <w:pPr>
        <w:pStyle w:val="Compact"/>
        <w:numPr>
          <w:ilvl w:val="0"/>
          <w:numId w:val="1002"/>
        </w:numPr>
      </w:pPr>
      <w:r>
        <w:t xml:space="preserve">Medicación habitual.</w:t>
      </w:r>
    </w:p>
    <w:p>
      <w:pPr>
        <w:pStyle w:val="Compact"/>
        <w:numPr>
          <w:ilvl w:val="0"/>
          <w:numId w:val="1002"/>
        </w:numPr>
      </w:pPr>
      <w:r>
        <w:t xml:space="preserve">Enfermedades cardiacas o respiratorias.</w:t>
      </w:r>
    </w:p>
    <w:p>
      <w:pPr>
        <w:pStyle w:val="Compact"/>
        <w:numPr>
          <w:ilvl w:val="0"/>
          <w:numId w:val="1002"/>
        </w:numPr>
      </w:pPr>
      <w:r>
        <w:t xml:space="preserve">Embarazo o lactancia.</w:t>
      </w:r>
    </w:p>
    <w:p>
      <w:pPr>
        <w:pStyle w:val="Compact"/>
        <w:numPr>
          <w:ilvl w:val="0"/>
          <w:numId w:val="1002"/>
        </w:numPr>
      </w:pPr>
      <w:r>
        <w:t xml:space="preserve">Antecedentes de reacciones graves.</w:t>
      </w:r>
    </w:p>
    <w:p>
      <w:pPr>
        <w:pStyle w:val="Compact"/>
        <w:numPr>
          <w:ilvl w:val="0"/>
          <w:numId w:val="1002"/>
        </w:numPr>
      </w:pPr>
      <w:r>
        <w:t xml:space="preserve">Cualquier otra circunstancia clínica relevante.</w:t>
      </w:r>
    </w:p>
    <w:p>
      <w:r>
        <w:pict>
          <v:rect style="width:0;height:1.5pt" o:hralign="center" o:hrstd="t" o:hr="t"/>
        </w:pict>
      </w:r>
    </w:p>
    <w:bookmarkEnd w:id="21"/>
    <w:bookmarkStart w:id="22" w:name="para-qué-sirve"/>
    <w:p>
      <w:pPr>
        <w:pStyle w:val="Heading2"/>
      </w:pPr>
      <w:r>
        <w:t xml:space="preserve">¿PARA QUÉ SIRVE?</w:t>
      </w:r>
    </w:p>
    <w:p>
      <w:pPr>
        <w:pStyle w:val="Compact"/>
        <w:numPr>
          <w:ilvl w:val="0"/>
          <w:numId w:val="1003"/>
        </w:numPr>
      </w:pPr>
      <w:r>
        <w:t xml:space="preserve">Permitir la administración segura de un medicamento necesario.</w:t>
      </w:r>
    </w:p>
    <w:p>
      <w:pPr>
        <w:pStyle w:val="Compact"/>
        <w:numPr>
          <w:ilvl w:val="0"/>
          <w:numId w:val="1003"/>
        </w:numPr>
      </w:pPr>
      <w:r>
        <w:t xml:space="preserve">Posibilitar tratamientos para los que no existen alternativas equivalentes.</w:t>
      </w:r>
    </w:p>
    <w:p>
      <w:pPr>
        <w:pStyle w:val="Compact"/>
        <w:numPr>
          <w:ilvl w:val="0"/>
          <w:numId w:val="1003"/>
        </w:numPr>
      </w:pPr>
      <w:r>
        <w:t xml:space="preserve">Reducir el riesgo de reacciones graves durante la administración del fármaco.</w:t>
      </w:r>
    </w:p>
    <w:p>
      <w:r>
        <w:pict>
          <v:rect style="width:0;height:1.5pt" o:hralign="center" o:hrstd="t" o:hr="t"/>
        </w:pict>
      </w:r>
    </w:p>
    <w:bookmarkEnd w:id="22"/>
    <w:bookmarkStart w:id="27" w:name="riesgos-y-posibles-complicaciones"/>
    <w:p>
      <w:pPr>
        <w:pStyle w:val="Heading2"/>
      </w:pPr>
      <w:r>
        <w:t xml:space="preserve">RIESGOS Y POSIBLES COMPLICACIONES</w:t>
      </w:r>
    </w:p>
    <w:p>
      <w:pPr>
        <w:pStyle w:val="FirstParagraph"/>
      </w:pPr>
      <w:r>
        <w:t xml:space="preserve">La desensibilización a fármacos implica la administración deliberada de un medicamento previamente sospechoso o confirmado como desencadenante de una reacción de hipersensibilidad, por lo que no está exenta de riesgos.</w:t>
      </w:r>
    </w:p>
    <w:p>
      <w:pPr>
        <w:pStyle w:val="BodyText"/>
      </w:pPr>
      <w:r>
        <w:t xml:space="preserve">Aunque muchas reacciones son leves y controlables, pueden aparecer efectos adversos de distinta gravedad.</w:t>
      </w:r>
    </w:p>
    <w:bookmarkStart w:id="23" w:name="efectos-frecuentes-y-generalmente-leves"/>
    <w:p>
      <w:pPr>
        <w:pStyle w:val="Heading3"/>
      </w:pPr>
      <w:r>
        <w:t xml:space="preserve">Efectos frecuentes y generalmente leves:</w:t>
      </w:r>
    </w:p>
    <w:p>
      <w:pPr>
        <w:pStyle w:val="Compact"/>
        <w:numPr>
          <w:ilvl w:val="0"/>
          <w:numId w:val="1004"/>
        </w:numPr>
      </w:pPr>
      <w:r>
        <w:t xml:space="preserve">Picor.</w:t>
      </w:r>
    </w:p>
    <w:p>
      <w:pPr>
        <w:pStyle w:val="Compact"/>
        <w:numPr>
          <w:ilvl w:val="0"/>
          <w:numId w:val="1004"/>
        </w:numPr>
      </w:pPr>
      <w:r>
        <w:t xml:space="preserve">Eritema o urticaria limitada.</w:t>
      </w:r>
    </w:p>
    <w:p>
      <w:pPr>
        <w:pStyle w:val="Compact"/>
        <w:numPr>
          <w:ilvl w:val="0"/>
          <w:numId w:val="1004"/>
        </w:numPr>
      </w:pPr>
      <w:r>
        <w:t xml:space="preserve">Congestión nasal.</w:t>
      </w:r>
    </w:p>
    <w:p>
      <w:pPr>
        <w:pStyle w:val="Compact"/>
        <w:numPr>
          <w:ilvl w:val="0"/>
          <w:numId w:val="1004"/>
        </w:numPr>
      </w:pPr>
      <w:r>
        <w:t xml:space="preserve">Picor ocular.</w:t>
      </w:r>
    </w:p>
    <w:p>
      <w:pPr>
        <w:pStyle w:val="Compact"/>
        <w:numPr>
          <w:ilvl w:val="0"/>
          <w:numId w:val="1004"/>
        </w:numPr>
      </w:pPr>
      <w:r>
        <w:t xml:space="preserve">Tos o molestias respiratorias leves.</w:t>
      </w:r>
    </w:p>
    <w:p>
      <w:pPr>
        <w:pStyle w:val="Compact"/>
        <w:numPr>
          <w:ilvl w:val="0"/>
          <w:numId w:val="1004"/>
        </w:numPr>
      </w:pPr>
      <w:r>
        <w:t xml:space="preserve">Náuseas o molestias digestivas leves.</w:t>
      </w:r>
    </w:p>
    <w:bookmarkEnd w:id="23"/>
    <w:bookmarkStart w:id="24" w:name="X303920790e78226db447920d1ca7d0ae680292f"/>
    <w:p>
      <w:pPr>
        <w:pStyle w:val="Heading3"/>
      </w:pPr>
      <w:r>
        <w:t xml:space="preserve">Efectos menos frecuentes y potencialmente graves:</w:t>
      </w:r>
    </w:p>
    <w:p>
      <w:pPr>
        <w:pStyle w:val="Compact"/>
        <w:numPr>
          <w:ilvl w:val="0"/>
          <w:numId w:val="1005"/>
        </w:numPr>
      </w:pPr>
      <w:r>
        <w:t xml:space="preserve">Urticaria generalizada.</w:t>
      </w:r>
    </w:p>
    <w:p>
      <w:pPr>
        <w:pStyle w:val="Compact"/>
        <w:numPr>
          <w:ilvl w:val="0"/>
          <w:numId w:val="1005"/>
        </w:numPr>
      </w:pPr>
      <w:r>
        <w:t xml:space="preserve">Angioedema.</w:t>
      </w:r>
    </w:p>
    <w:p>
      <w:pPr>
        <w:pStyle w:val="Compact"/>
        <w:numPr>
          <w:ilvl w:val="0"/>
          <w:numId w:val="1005"/>
        </w:numPr>
      </w:pPr>
      <w:r>
        <w:t xml:space="preserve">Broncoespasmo.</w:t>
      </w:r>
    </w:p>
    <w:p>
      <w:pPr>
        <w:pStyle w:val="Compact"/>
        <w:numPr>
          <w:ilvl w:val="0"/>
          <w:numId w:val="1005"/>
        </w:numPr>
      </w:pPr>
      <w:r>
        <w:t xml:space="preserve">Dolor abdominal intenso, vómitos o diarrea.</w:t>
      </w:r>
    </w:p>
    <w:p>
      <w:pPr>
        <w:pStyle w:val="Compact"/>
        <w:numPr>
          <w:ilvl w:val="0"/>
          <w:numId w:val="1005"/>
        </w:numPr>
      </w:pPr>
      <w:r>
        <w:t xml:space="preserve">Descenso de la tensión arterial.</w:t>
      </w:r>
    </w:p>
    <w:bookmarkEnd w:id="24"/>
    <w:bookmarkStart w:id="25" w:name="riesgos-graves"/>
    <w:p>
      <w:pPr>
        <w:pStyle w:val="Heading3"/>
      </w:pPr>
      <w:r>
        <w:t xml:space="preserve">Riesgos graves:</w:t>
      </w:r>
    </w:p>
    <w:p>
      <w:pPr>
        <w:pStyle w:val="Compact"/>
        <w:numPr>
          <w:ilvl w:val="0"/>
          <w:numId w:val="1006"/>
        </w:numPr>
      </w:pPr>
      <w:r>
        <w:t xml:space="preserve">Reacción anafiláctica, que puede requerir tratamiento urgente con adrenalina intramuscular y otras medidas médicas.</w:t>
      </w:r>
    </w:p>
    <w:p>
      <w:pPr>
        <w:pStyle w:val="Compact"/>
        <w:numPr>
          <w:ilvl w:val="0"/>
          <w:numId w:val="1006"/>
        </w:numPr>
      </w:pPr>
      <w:r>
        <w:t xml:space="preserve">Necesidad de suspensión del procedimiento.</w:t>
      </w:r>
    </w:p>
    <w:bookmarkEnd w:id="25"/>
    <w:bookmarkStart w:id="26" w:name="riesgos-muy-graves-y-excepcionales"/>
    <w:p>
      <w:pPr>
        <w:pStyle w:val="Heading3"/>
      </w:pPr>
      <w:r>
        <w:t xml:space="preserve">Riesgos muy graves y excepcionales:</w:t>
      </w:r>
    </w:p>
    <w:p>
      <w:pPr>
        <w:pStyle w:val="Compact"/>
        <w:numPr>
          <w:ilvl w:val="0"/>
          <w:numId w:val="1007"/>
        </w:numPr>
      </w:pPr>
      <w:r>
        <w:t xml:space="preserve">Anafilaxia grave con compromiso vital.</w:t>
      </w:r>
    </w:p>
    <w:p>
      <w:pPr>
        <w:pStyle w:val="Compact"/>
        <w:numPr>
          <w:ilvl w:val="0"/>
          <w:numId w:val="1007"/>
        </w:numPr>
      </w:pPr>
      <w:r>
        <w:t xml:space="preserve">Dificultad respiratoria severa.</w:t>
      </w:r>
    </w:p>
    <w:p>
      <w:pPr>
        <w:pStyle w:val="Compact"/>
        <w:numPr>
          <w:ilvl w:val="0"/>
          <w:numId w:val="1007"/>
        </w:numPr>
      </w:pPr>
      <w:r>
        <w:t xml:space="preserve">Hipotensión grave.</w:t>
      </w:r>
    </w:p>
    <w:p>
      <w:pPr>
        <w:pStyle w:val="Compact"/>
        <w:numPr>
          <w:ilvl w:val="0"/>
          <w:numId w:val="1007"/>
        </w:numPr>
      </w:pPr>
      <w:r>
        <w:t xml:space="preserve">Pérdida de conocimiento.</w:t>
      </w:r>
    </w:p>
    <w:p>
      <w:pPr>
        <w:pStyle w:val="Compact"/>
        <w:numPr>
          <w:ilvl w:val="0"/>
          <w:numId w:val="1007"/>
        </w:numPr>
      </w:pPr>
      <w:r>
        <w:t xml:space="preserve">Parada cardiorrespiratoria.</w:t>
      </w:r>
    </w:p>
    <w:p>
      <w:pPr>
        <w:pStyle w:val="FirstParagraph"/>
      </w:pPr>
      <w:r>
        <w:t xml:space="preserve">El personal sanitario dispone de medicación y medios adecuados para el tratamiento inmediato de estas complicaciones.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28" w:name="limitaciones-del-procedimiento"/>
    <w:p>
      <w:pPr>
        <w:pStyle w:val="Heading2"/>
      </w:pPr>
      <w:r>
        <w:t xml:space="preserve">LIMITACIONES DEL PROCEDIMIENTO</w:t>
      </w:r>
    </w:p>
    <w:p>
      <w:pPr>
        <w:pStyle w:val="FirstParagraph"/>
      </w:pPr>
      <w:r>
        <w:t xml:space="preserve">En algunos casos:</w:t>
      </w:r>
    </w:p>
    <w:p>
      <w:pPr>
        <w:pStyle w:val="Compact"/>
        <w:numPr>
          <w:ilvl w:val="0"/>
          <w:numId w:val="1008"/>
        </w:numPr>
      </w:pPr>
      <w:r>
        <w:t xml:space="preserve">No es posible completar la desensibilización por aparición de reacciones adversas.</w:t>
      </w:r>
    </w:p>
    <w:p>
      <w:pPr>
        <w:pStyle w:val="Compact"/>
        <w:numPr>
          <w:ilvl w:val="0"/>
          <w:numId w:val="1008"/>
        </w:numPr>
      </w:pPr>
      <w:r>
        <w:t xml:space="preserve">La tolerancia conseguida puede perderse si se interrumpe el tratamiento.</w:t>
      </w:r>
    </w:p>
    <w:p>
      <w:pPr>
        <w:pStyle w:val="Compact"/>
        <w:numPr>
          <w:ilvl w:val="0"/>
          <w:numId w:val="1008"/>
        </w:numPr>
      </w:pPr>
      <w:r>
        <w:t xml:space="preserve">Puede ser necesario repetir el procedimiento en futuras administraciones.</w:t>
      </w:r>
    </w:p>
    <w:p>
      <w:pPr>
        <w:pStyle w:val="Compact"/>
        <w:numPr>
          <w:ilvl w:val="0"/>
          <w:numId w:val="1008"/>
        </w:numPr>
      </w:pPr>
      <w:r>
        <w:t xml:space="preserve">No todos los tipos de reacciones de hipersensibilidad son susceptibles de desensibilización.</w:t>
      </w:r>
    </w:p>
    <w:p>
      <w:r>
        <w:pict>
          <v:rect style="width:0;height:1.5pt" o:hralign="center" o:hrstd="t" o:hr="t"/>
        </w:pict>
      </w:r>
    </w:p>
    <w:bookmarkEnd w:id="28"/>
    <w:bookmarkStart w:id="29" w:name="alternativas"/>
    <w:p>
      <w:pPr>
        <w:pStyle w:val="Heading2"/>
      </w:pPr>
      <w:r>
        <w:t xml:space="preserve">ALTERNATIVAS</w:t>
      </w:r>
    </w:p>
    <w:p>
      <w:pPr>
        <w:pStyle w:val="FirstParagraph"/>
      </w:pPr>
      <w:r>
        <w:t xml:space="preserve">Las alternativas incluyen:</w:t>
      </w:r>
    </w:p>
    <w:p>
      <w:pPr>
        <w:pStyle w:val="Compact"/>
        <w:numPr>
          <w:ilvl w:val="0"/>
          <w:numId w:val="1009"/>
        </w:numPr>
      </w:pPr>
      <w:r>
        <w:t xml:space="preserve">Utilización de otros medicamentos, si existen alternativas adecuadas.</w:t>
      </w:r>
    </w:p>
    <w:p>
      <w:pPr>
        <w:pStyle w:val="Compact"/>
        <w:numPr>
          <w:ilvl w:val="0"/>
          <w:numId w:val="1009"/>
        </w:numPr>
      </w:pPr>
      <w:r>
        <w:t xml:space="preserve">Evitación del fármaco implicado.</w:t>
      </w:r>
    </w:p>
    <w:p>
      <w:pPr>
        <w:pStyle w:val="Compact"/>
        <w:numPr>
          <w:ilvl w:val="0"/>
          <w:numId w:val="1009"/>
        </w:numPr>
      </w:pPr>
      <w:r>
        <w:t xml:space="preserve">Modificación de la estrategia terapéutica según criterio médico.</w:t>
      </w:r>
    </w:p>
    <w:p>
      <w:r>
        <w:pict>
          <v:rect style="width:0;height:1.5pt" o:hralign="center" o:hrstd="t" o:hr="t"/>
        </w:pict>
      </w:r>
    </w:p>
    <w:bookmarkEnd w:id="29"/>
    <w:bookmarkStart w:id="30" w:name="otras-consideraciones"/>
    <w:p>
      <w:pPr>
        <w:pStyle w:val="Heading2"/>
      </w:pPr>
      <w:r>
        <w:t xml:space="preserve">OTRAS CONSIDERACIONES</w:t>
      </w:r>
    </w:p>
    <w:p>
      <w:pPr>
        <w:pStyle w:val="FirstParagraph"/>
      </w:pPr>
      <w:r>
        <w:t xml:space="preserve">Durante el procedimiento pueden surgir situaciones imprevistas que requieran modificar el protocolo inicialmente previsto, prolongar el periodo de observación o suspender la desensibilización por motivos de seguridad.</w:t>
      </w:r>
    </w:p>
    <w:p>
      <w:r>
        <w:pict>
          <v:rect style="width:0;height:1.5pt" o:hralign="center" o:hrstd="t" o:hr="t"/>
        </w:pict>
      </w:r>
    </w:p>
    <w:bookmarkEnd w:id="30"/>
    <w:bookmarkStart w:id="31" w:name="declaraciones"/>
    <w:p>
      <w:pPr>
        <w:pStyle w:val="Heading2"/>
      </w:pPr>
      <w:r>
        <w:t xml:space="preserve">DECLARACIONES</w:t>
      </w:r>
    </w:p>
    <w:p>
      <w:pPr>
        <w:pStyle w:val="Compact"/>
        <w:numPr>
          <w:ilvl w:val="0"/>
          <w:numId w:val="1010"/>
        </w:numPr>
      </w:pPr>
      <w:r>
        <w:t xml:space="preserve">He comprendido la información recibida y he podido formular todas las preguntas necesarias, que han sido adecuadamente respondidas.</w:t>
      </w:r>
    </w:p>
    <w:p>
      <w:pPr>
        <w:pStyle w:val="Compact"/>
        <w:numPr>
          <w:ilvl w:val="0"/>
          <w:numId w:val="1010"/>
        </w:numPr>
      </w:pPr>
      <w:r>
        <w:t xml:space="preserve">He sido informado/a de los beneficios, limitaciones y riesgos del procedimiento.</w:t>
      </w:r>
    </w:p>
    <w:p>
      <w:pPr>
        <w:pStyle w:val="Compact"/>
        <w:numPr>
          <w:ilvl w:val="0"/>
          <w:numId w:val="1010"/>
        </w:numPr>
      </w:pPr>
      <w:r>
        <w:t xml:space="preserve">Sé que puedo revocar este consentimiento en cualquier momento, sin necesidad de justificación.</w:t>
      </w:r>
    </w:p>
    <w:p>
      <w:pPr>
        <w:pStyle w:val="FirstParagraph"/>
      </w:pPr>
      <w:r>
        <w:t xml:space="preserve">He recibido copia del presente documento.</w:t>
      </w:r>
    </w:p>
    <w:p>
      <w:pPr>
        <w:pStyle w:val="BodyText"/>
      </w:pPr>
      <w:r>
        <w:t xml:space="preserve">En consecuencia, CONSIENTO la realización del procedimiento descrito.</w:t>
      </w:r>
    </w:p>
    <w:p>
      <w:pPr>
        <w:pStyle w:val="BodyText"/>
      </w:pPr>
      <w:r>
        <w:t xml:space="preserve">En ……………………………………, a …… de …………………… de 20……</w:t>
      </w:r>
    </w:p>
    <w:p>
      <w:pPr>
        <w:pStyle w:val="BodyText"/>
      </w:pPr>
      <w:r>
        <w:t xml:space="preserve">EL/LA PACIENTE</w:t>
      </w:r>
      <w:r>
        <w:br/>
      </w:r>
      <w:r>
        <w:t xml:space="preserve">Fdo.: ………………………………………</w:t>
      </w:r>
    </w:p>
    <w:p>
      <w:pPr>
        <w:pStyle w:val="BodyText"/>
      </w:pPr>
      <w:r>
        <w:t xml:space="preserve">EL/LA PROFESIONAL QUE INFORMA</w:t>
      </w:r>
      <w:r>
        <w:br/>
      </w:r>
      <w:r>
        <w:t xml:space="preserve">Fdo.: Dr./Dra. ……………………………………… Nº de colegiado: ………………</w:t>
      </w:r>
    </w:p>
    <w:p>
      <w:r>
        <w:pict>
          <v:rect style="width:0;height:1.5pt" o:hralign="center" o:hrstd="t" o:hr="t"/>
        </w:pict>
      </w:r>
    </w:p>
    <w:bookmarkEnd w:id="31"/>
    <w:bookmarkStart w:id="32" w:name="representante-legal-si-procede"/>
    <w:p>
      <w:pPr>
        <w:pStyle w:val="Heading2"/>
      </w:pPr>
      <w:r>
        <w:t xml:space="preserve">REPRESENTANTE LEGAL (si procede)</w:t>
      </w:r>
    </w:p>
    <w:p>
      <w:pPr>
        <w:pStyle w:val="FirstParagraph"/>
      </w:pPr>
      <w:r>
        <w:t xml:space="preserve">D./Dña. ……………………………………………………………………………………, con DNI nº …………………………, en calidad de ………………………………… del paciente,</w:t>
      </w:r>
    </w:p>
    <w:p>
      <w:pPr>
        <w:pStyle w:val="BodyText"/>
      </w:pPr>
      <w:r>
        <w:t xml:space="preserve">MANIFIESTA que comprende la información recibida y CONSIENTE el procedimiento.</w:t>
      </w:r>
    </w:p>
    <w:p>
      <w:pPr>
        <w:pStyle w:val="BodyText"/>
      </w:pPr>
      <w:r>
        <w:t xml:space="preserve">Fdo.: ………………………………………</w:t>
      </w:r>
    </w:p>
    <w:p>
      <w:r>
        <w:pict>
          <v:rect style="width:0;height:1.5pt" o:hralign="center" o:hrstd="t" o:hr="t"/>
        </w:pict>
      </w:r>
    </w:p>
    <w:bookmarkEnd w:id="32"/>
    <w:bookmarkStart w:id="33" w:name="revocación-del-consentimiento"/>
    <w:p>
      <w:pPr>
        <w:pStyle w:val="Heading2"/>
      </w:pPr>
      <w:r>
        <w:t xml:space="preserve">REVOCACIÓN DEL CONSENTIMIENTO</w:t>
      </w:r>
    </w:p>
    <w:p>
      <w:pPr>
        <w:pStyle w:val="FirstParagraph"/>
      </w:pPr>
      <w:r>
        <w:t xml:space="preserve">D./Dña. ……………………………………………………………………………………,</w:t>
      </w:r>
    </w:p>
    <w:p>
      <w:pPr>
        <w:pStyle w:val="BodyText"/>
      </w:pPr>
      <w:r>
        <w:t xml:space="preserve">REVOCO el consentimiento otorgado con fecha ………………… y no deseo continuar con el procedimiento.</w:t>
      </w:r>
    </w:p>
    <w:p>
      <w:pPr>
        <w:pStyle w:val="BodyText"/>
      </w:pPr>
      <w:r>
        <w:t xml:space="preserve">En ……………………………………, a …… de …………………… de 20……</w:t>
      </w:r>
    </w:p>
    <w:p>
      <w:pPr>
        <w:pStyle w:val="BodyText"/>
      </w:pPr>
      <w:r>
        <w:t xml:space="preserve">Fdo.: ………………………………………</w:t>
      </w:r>
    </w:p>
    <w:bookmarkEnd w:id="33"/>
    <w:bookmarkEnd w:id="3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2026-05-12T22:00:20Z</dcterms:created>
  <dcterms:modified xsi:type="dcterms:W3CDTF">2026-05-12T22:00:20Z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