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Pr>
        <w:drawing>
          <wp:anchor allowOverlap="1" behindDoc="0" distB="0" distT="0" distL="114300" distR="114300" hidden="0" layoutInCell="1" locked="0" relativeHeight="0" simplePos="0">
            <wp:simplePos x="0" y="0"/>
            <wp:positionH relativeFrom="margin">
              <wp:posOffset>5249227</wp:posOffset>
            </wp:positionH>
            <wp:positionV relativeFrom="margin">
              <wp:posOffset>-809617</wp:posOffset>
            </wp:positionV>
            <wp:extent cx="1084898" cy="1196831"/>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4898" cy="119683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sz w:val="21"/>
          <w:szCs w:val="21"/>
          <w:u w:val="single"/>
        </w:rPr>
      </w:pPr>
      <w:r w:rsidDel="00000000" w:rsidR="00000000" w:rsidRPr="00000000">
        <w:rPr>
          <w:rFonts w:ascii="Arial" w:cs="Arial" w:eastAsia="Arial" w:hAnsi="Arial"/>
          <w:b w:val="1"/>
          <w:bCs w:val="1"/>
          <w:sz w:val="21"/>
          <w:szCs w:val="21"/>
          <w:u w:val="single"/>
          <w:rtl w:val="0"/>
        </w:rPr>
        <w:t xml:space="preserve">Con motivo del Día Mundial de la Esofagitis Eosinofílica, que se celebra mañana 22 de mayo, la SEAIC señala que</w:t>
      </w:r>
    </w:p>
    <w:p w:rsidR="00000000" w:rsidDel="00000000" w:rsidP="00000000" w:rsidRDefault="00000000" w:rsidRPr="00000000" w14:paraId="00000004">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La incidencia de la esofagitis eosinofílica se dispara por el impacto de los factores ambientales y los hábitos de vida</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Los factores ambientales ganan peso frente a la genética, posicionándose como posible causa principal del aumento de casos de la enfermedad en las últimas décadas.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La SEAIC se suma al lema internacional “Food Shouldn’t Hurt” (“Comer no debería doler”), impulsado por la Alianza Internacional del Día Mundial de la EEo.</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La mayoría de los pacientes con EEo presenta además otras enfermedades alérgicas asociadas y la patología es aproximadamente tres veces más frecuente en hombres que en mujeres.</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72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Madrid, 21 de mayo de 2026.- </w:t>
      </w:r>
      <w:r w:rsidDel="00000000" w:rsidR="00000000" w:rsidRPr="00000000">
        <w:rPr>
          <w:rFonts w:ascii="Arial" w:cs="Arial" w:eastAsia="Arial" w:hAnsi="Arial"/>
          <w:sz w:val="24"/>
          <w:szCs w:val="24"/>
          <w:rtl w:val="0"/>
        </w:rPr>
        <w:t xml:space="preserve">La incidencia de la esofagitis eosinofílica (EEo) continúa aumentando y este crecimiento ya no responde únicamente a una mejora en el diagnóstico o a una mayor concienciación médica, sino también a un incremento real de la enfermedad. Además, cada vez más investigaciones apuntan a la implicación de factores ambientales y potencialmente modificables, especialmente durante las primeras etapas de la vida, lo que abre nuevas líneas de investigación sobre el origen y la evolución de esta patología. En este contexto, la Sociedad Española de Alergología e Inmunología Clínica (SEAIC) se suma, en el marco del II Día Mundial de la EEo, al lema internacional “Food Shouldn’t Hurt” (“Comer no debería doler”), impulsado por la Alianza Internacional del Día Mundial de la EEo.</w:t>
      </w:r>
    </w:p>
    <w:p w:rsidR="00000000" w:rsidDel="00000000" w:rsidP="00000000" w:rsidRDefault="00000000" w:rsidRPr="00000000" w14:paraId="0000000B">
      <w:pPr>
        <w:spacing w:after="160" w:lineRule="auto"/>
        <w:jc w:val="both"/>
        <w:rPr>
          <w:rFonts w:ascii="Arial" w:cs="Arial" w:eastAsia="Arial" w:hAnsi="Arial"/>
          <w:color w:val="1f1f1f"/>
          <w:sz w:val="24"/>
          <w:szCs w:val="24"/>
        </w:rPr>
      </w:pPr>
      <w:r w:rsidDel="00000000" w:rsidR="00000000" w:rsidRPr="00000000">
        <w:rPr>
          <w:rFonts w:ascii="Arial" w:cs="Arial" w:eastAsia="Arial" w:hAnsi="Arial"/>
          <w:i w:val="1"/>
          <w:iCs w:val="1"/>
          <w:color w:val="1f1f1f"/>
          <w:sz w:val="24"/>
          <w:szCs w:val="24"/>
          <w:rtl w:val="0"/>
        </w:rPr>
        <w:t xml:space="preserve">“La mayor concienciación entre los especialistas, junto con la estandarización de los procesos diagnósticos, ha permitido mejorar significativamente el reconocimiento y la capacidad diagnóstica de la EEo. Sin embargo, la evidencia epidemiológica actual indica que este aumento no puede explicarse únicamente por una mejor capacidad diagnóstica, sino también por un incremento real de la incidencia, en paralelo al crecimiento global de las enfermedades alérgicas y otros trastornos inflamatorios mediados por el sistema inmunitario”</w:t>
      </w:r>
      <w:r w:rsidDel="00000000" w:rsidR="00000000" w:rsidRPr="00000000">
        <w:rPr>
          <w:rFonts w:ascii="Arial" w:cs="Arial" w:eastAsia="Arial" w:hAnsi="Arial"/>
          <w:color w:val="1f1f1f"/>
          <w:sz w:val="24"/>
          <w:szCs w:val="24"/>
          <w:rtl w:val="0"/>
        </w:rPr>
        <w:t xml:space="preserve">, explica la </w:t>
      </w:r>
      <w:r w:rsidDel="00000000" w:rsidR="00000000" w:rsidRPr="00000000">
        <w:rPr>
          <w:rFonts w:ascii="Arial" w:cs="Arial" w:eastAsia="Arial" w:hAnsi="Arial"/>
          <w:b w:val="1"/>
          <w:bCs w:val="1"/>
          <w:color w:val="1f1f1f"/>
          <w:sz w:val="24"/>
          <w:szCs w:val="24"/>
          <w:rtl w:val="0"/>
        </w:rPr>
        <w:t xml:space="preserve">Dra. Mª Robledo Ávila Castellano, coordinadora del Grupo de Interés de EEo de la SEAIC.</w:t>
      </w:r>
      <w:r w:rsidDel="00000000" w:rsidR="00000000" w:rsidRPr="00000000">
        <w:rPr>
          <w:rtl w:val="0"/>
        </w:rPr>
      </w:r>
    </w:p>
    <w:p w:rsidR="00000000" w:rsidDel="00000000" w:rsidP="00000000" w:rsidRDefault="00000000" w:rsidRPr="00000000" w14:paraId="0000000C">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es que más allá de la predisposición genética, cada vez existe más evidencia de que factores como el uso precoz de antibióticos, las alteraciones de la microbiota intestinal, la contaminación ambiental, los cambios dietéticos propios del estilo de vida occidental o la exposición a aeroalérgenos podrían desempeñar un papel importante en el desarrollo de la EEo. Aunque actualmente no existen medidas preventivas específicas demostradas para evitar la enfermedad, la especialista explica que </w:t>
      </w:r>
      <w:r w:rsidDel="00000000" w:rsidR="00000000" w:rsidRPr="00000000">
        <w:rPr>
          <w:rFonts w:ascii="Arial" w:cs="Arial" w:eastAsia="Arial" w:hAnsi="Arial"/>
          <w:i w:val="1"/>
          <w:iCs w:val="1"/>
          <w:sz w:val="24"/>
          <w:szCs w:val="24"/>
          <w:rtl w:val="0"/>
        </w:rPr>
        <w:t xml:space="preserve">“sí parece razonable promover hábitos que favorezcan un adecuado desarrollo inmunológico y el mantenimiento de una microbiota saludable”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D">
      <w:pPr>
        <w:shd w:fill="ffffff" w:val="clear"/>
        <w:spacing w:after="160" w:befor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Una enfermedad ligada a la alergia y con predominio masculino</w:t>
      </w:r>
    </w:p>
    <w:p w:rsidR="00000000" w:rsidDel="00000000" w:rsidP="00000000" w:rsidRDefault="00000000" w:rsidRPr="00000000" w14:paraId="0000000E">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esofagitis eosinofílica mantiene una estrecha relación con otras enfermedades alérgicas como el asma alérgica, la rinitis alérgica, la dermatitis atópica o la alergia alimentaria. De hecho, la mayoría de los pacientes con EEo presentan al menos una de estas enfermedades asociadas.</w:t>
      </w:r>
    </w:p>
    <w:p w:rsidR="00000000" w:rsidDel="00000000" w:rsidP="00000000" w:rsidRDefault="00000000" w:rsidRPr="00000000" w14:paraId="0000000F">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“Todas ellas comparten mecanismos inmunológicos similares y una base inflamatoria común, lo que ayuda a explicar por qué muchos pacientes desarrollan distintas manifestaciones alérgicas a lo largo de su vida, donde la EEo puede surgir como una manifestación tardía”</w:t>
      </w:r>
      <w:r w:rsidDel="00000000" w:rsidR="00000000" w:rsidRPr="00000000">
        <w:rPr>
          <w:rFonts w:ascii="Arial" w:cs="Arial" w:eastAsia="Arial" w:hAnsi="Arial"/>
          <w:sz w:val="24"/>
          <w:szCs w:val="24"/>
          <w:rtl w:val="0"/>
        </w:rPr>
        <w:t xml:space="preserve">, explica la </w:t>
      </w:r>
      <w:r w:rsidDel="00000000" w:rsidR="00000000" w:rsidRPr="00000000">
        <w:rPr>
          <w:rFonts w:ascii="Arial" w:cs="Arial" w:eastAsia="Arial" w:hAnsi="Arial"/>
          <w:b w:val="1"/>
          <w:bCs w:val="1"/>
          <w:sz w:val="24"/>
          <w:szCs w:val="24"/>
          <w:rtl w:val="0"/>
        </w:rPr>
        <w:t xml:space="preserve">Dra. Rosario González Mendiola, coordinadora del Grupo de Interés de EEo de la SEAIC</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0">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contexto, la EEo no debe entenderse únicamente como una enfermedad localizada en el esófago, sino como parte de un contexto alérgico más amplio, que requiere abordaje integral y multidisciplinar. </w:t>
      </w:r>
    </w:p>
    <w:p w:rsidR="00000000" w:rsidDel="00000000" w:rsidP="00000000" w:rsidRDefault="00000000" w:rsidRPr="00000000" w14:paraId="00000011">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la EEo es aproximadamente tres veces más frecuente en hombres que en mujeres, una diferencia que se mantiene tanto en la infancia como en la edad adulta. </w:t>
      </w:r>
      <w:r w:rsidDel="00000000" w:rsidR="00000000" w:rsidRPr="00000000">
        <w:rPr>
          <w:rFonts w:ascii="Arial" w:cs="Arial" w:eastAsia="Arial" w:hAnsi="Arial"/>
          <w:i w:val="1"/>
          <w:iCs w:val="1"/>
          <w:sz w:val="24"/>
          <w:szCs w:val="24"/>
          <w:rtl w:val="0"/>
        </w:rPr>
        <w:t xml:space="preserve">“La investigación actual apunta a una interacción compleja entre factores hormonales, genéticos, inmunológicos y epiteliales. Algunos estudios sugieren que determinadas variantes genéticas podrían expresarse de forma diferencial según el sexo o interactuar con factores hormonales”</w:t>
      </w:r>
      <w:r w:rsidDel="00000000" w:rsidR="00000000" w:rsidRPr="00000000">
        <w:rPr>
          <w:rFonts w:ascii="Arial" w:cs="Arial" w:eastAsia="Arial" w:hAnsi="Arial"/>
          <w:sz w:val="24"/>
          <w:szCs w:val="24"/>
          <w:rtl w:val="0"/>
        </w:rPr>
        <w:t xml:space="preserve">, señala la experta. También se estudian diferencias inmunológicas y de sensibilización alérgica entre hombres y mujeres, así como alteraciones en la función de la barrera epitelial esofágica que podrían influir en este predominio masculino. “</w:t>
      </w:r>
      <w:r w:rsidDel="00000000" w:rsidR="00000000" w:rsidRPr="00000000">
        <w:rPr>
          <w:rFonts w:ascii="Arial" w:cs="Arial" w:eastAsia="Arial" w:hAnsi="Arial"/>
          <w:i w:val="1"/>
          <w:iCs w:val="1"/>
          <w:sz w:val="24"/>
          <w:szCs w:val="24"/>
          <w:rtl w:val="0"/>
        </w:rPr>
        <w:t xml:space="preserve">De hecho, la hipótesis más vanguardista (“hipótesis de la barrera”) apunta a una lesión de las barreras cutaneomucosas generada por factores ambientales diversos, junto con una predisposición individual, como el posible origen de muchas de las enfermedades alérgicas y explicarían el aumento de las tasas de incidencia y prevalencia en las sociedades más industrializadas</w:t>
      </w:r>
      <w:r w:rsidDel="00000000" w:rsidR="00000000" w:rsidRPr="00000000">
        <w:rPr>
          <w:rFonts w:ascii="Arial" w:cs="Arial" w:eastAsia="Arial" w:hAnsi="Arial"/>
          <w:sz w:val="24"/>
          <w:szCs w:val="24"/>
          <w:rtl w:val="0"/>
        </w:rPr>
        <w:t xml:space="preserve">”, explica la Dra. González. </w:t>
      </w:r>
    </w:p>
    <w:p w:rsidR="00000000" w:rsidDel="00000000" w:rsidP="00000000" w:rsidRDefault="00000000" w:rsidRPr="00000000" w14:paraId="00000012">
      <w:pPr>
        <w:shd w:fill="ffffff" w:val="clear"/>
        <w:spacing w:after="160" w:before="240" w:lineRule="auto"/>
        <w:jc w:val="both"/>
        <w:rPr>
          <w:rFonts w:ascii="Arial" w:cs="Arial" w:eastAsia="Arial" w:hAnsi="Arial"/>
          <w:b w:val="1"/>
          <w:bCs w:val="1"/>
          <w:color w:val="538135"/>
        </w:rPr>
      </w:pPr>
      <w:r w:rsidDel="00000000" w:rsidR="00000000" w:rsidRPr="00000000">
        <w:rPr>
          <w:rFonts w:ascii="Arial" w:cs="Arial" w:eastAsia="Arial" w:hAnsi="Arial"/>
          <w:b w:val="1"/>
          <w:bCs w:val="1"/>
          <w:color w:val="538135"/>
          <w:rtl w:val="0"/>
        </w:rPr>
        <w:t xml:space="preserve">Sobre la Sociedad Española de Alergología e Inmunología Clínica (SEAIC)</w:t>
      </w:r>
    </w:p>
    <w:p w:rsidR="00000000" w:rsidDel="00000000" w:rsidP="00000000" w:rsidRDefault="00000000" w:rsidRPr="00000000" w14:paraId="00000013">
      <w:pPr>
        <w:spacing w:after="0" w:lineRule="auto"/>
        <w:ind w:hanging="2"/>
        <w:jc w:val="both"/>
        <w:rPr>
          <w:rFonts w:ascii="Arial" w:cs="Arial" w:eastAsia="Arial" w:hAnsi="Arial"/>
          <w:b w:val="1"/>
          <w:bCs w:val="1"/>
          <w:color w:val="538135"/>
        </w:rPr>
      </w:pPr>
      <w:r w:rsidDel="00000000" w:rsidR="00000000" w:rsidRPr="00000000">
        <w:rPr>
          <w:rtl w:val="0"/>
        </w:rPr>
      </w:r>
    </w:p>
    <w:p w:rsidR="00000000" w:rsidDel="00000000" w:rsidP="00000000" w:rsidRDefault="00000000" w:rsidRPr="00000000" w14:paraId="00000014">
      <w:pPr>
        <w:spacing w:after="0" w:lineRule="auto"/>
        <w:ind w:hanging="2"/>
        <w:jc w:val="both"/>
        <w:rPr>
          <w:rFonts w:ascii="Arial" w:cs="Arial" w:eastAsia="Arial" w:hAnsi="Arial"/>
        </w:rPr>
      </w:pPr>
      <w:r w:rsidDel="00000000" w:rsidR="00000000" w:rsidRPr="00000000">
        <w:rPr>
          <w:rFonts w:ascii="Arial" w:cs="Arial" w:eastAsia="Arial" w:hAnsi="Arial"/>
          <w:rtl w:val="0"/>
        </w:rPr>
        <w:t xml:space="preserve">La Sociedad Española de Alergología e Inmunología Clínica (SEAIC) es una organización científica y médica que reúne a especialistas dedicados al estudio, diagnóstico y tratamiento de las enfermedades alérgicas y los trastornos del sistema inmunitario. Fundada en 1948, la SEAIC trabaja para impulsar el conocimiento científico, promover la formación continuada de los profesionales sanitarios y mejorar la atención a los pacientes con enfermedades alérgicas y su calidad de vida.</w:t>
      </w:r>
    </w:p>
    <w:p w:rsidR="00000000" w:rsidDel="00000000" w:rsidP="00000000" w:rsidRDefault="00000000" w:rsidRPr="00000000" w14:paraId="00000015">
      <w:pPr>
        <w:spacing w:after="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Rule="auto"/>
        <w:ind w:hanging="2"/>
        <w:jc w:val="both"/>
        <w:rPr>
          <w:rFonts w:ascii="Arial" w:cs="Arial" w:eastAsia="Arial" w:hAnsi="Arial"/>
        </w:rPr>
      </w:pPr>
      <w:r w:rsidDel="00000000" w:rsidR="00000000" w:rsidRPr="00000000">
        <w:rPr>
          <w:rFonts w:ascii="Arial" w:cs="Arial" w:eastAsia="Arial" w:hAnsi="Arial"/>
          <w:rtl w:val="0"/>
        </w:rPr>
        <w:t xml:space="preserve">El alergólogo es el especialista encargado de diagnosticar y tratar las enfermedades alérgicas a lo largo de toda la vida, desde la infancia hasta la edad adulta —lo que se conoce como el especialista “de los 0 a los 100 años”—, abordando patologías como el asma, la rinoconjuntivitis alérgica, las alergias alimentarias, la dermatitis atópica, la alergia a los medicamentos o la anafilaxia, entre otras.</w:t>
      </w:r>
    </w:p>
    <w:p w:rsidR="00000000" w:rsidDel="00000000" w:rsidP="00000000" w:rsidRDefault="00000000" w:rsidRPr="00000000" w14:paraId="00000017">
      <w:pPr>
        <w:spacing w:after="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Rule="auto"/>
        <w:ind w:hanging="2"/>
        <w:jc w:val="both"/>
        <w:rPr>
          <w:rFonts w:ascii="Arial" w:cs="Arial" w:eastAsia="Arial" w:hAnsi="Arial"/>
        </w:rPr>
      </w:pPr>
      <w:r w:rsidDel="00000000" w:rsidR="00000000" w:rsidRPr="00000000">
        <w:rPr>
          <w:rFonts w:ascii="Arial" w:cs="Arial" w:eastAsia="Arial" w:hAnsi="Arial"/>
          <w:rtl w:val="0"/>
        </w:rPr>
        <w:t xml:space="preserve">A través de la investigación, la docencia y la divulgación científica, la SEAIC contribuye al avance de la alergología en España y a la mejora de la calidad de vida de las personas con enfermedades alérgicas, cuya prevalencia continúa aumentando en todo el mundo.</w:t>
      </w:r>
    </w:p>
    <w:p w:rsidR="00000000" w:rsidDel="00000000" w:rsidP="00000000" w:rsidRDefault="00000000" w:rsidRPr="00000000" w14:paraId="00000019">
      <w:pPr>
        <w:spacing w:after="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Rule="auto"/>
        <w:ind w:hanging="2"/>
        <w:jc w:val="both"/>
        <w:rPr>
          <w:rFonts w:ascii="Arial" w:cs="Arial" w:eastAsia="Arial" w:hAnsi="Arial"/>
        </w:rPr>
      </w:pPr>
      <w:r w:rsidDel="00000000" w:rsidR="00000000" w:rsidRPr="00000000">
        <w:rPr>
          <w:rFonts w:ascii="Arial" w:cs="Arial" w:eastAsia="Arial" w:hAnsi="Arial"/>
          <w:rtl w:val="0"/>
        </w:rPr>
        <w:t xml:space="preserve">La Sociedad colabora con instituciones sanitarias, sociedades científicas nacionales e internacionales, asociaciones de pacientes y organismos públicos con el objetivo de fomentar el diagnóstico precoz, el tratamiento adecuado y la prevención de estas patologías.</w:t>
      </w:r>
    </w:p>
    <w:p w:rsidR="00000000" w:rsidDel="00000000" w:rsidP="00000000" w:rsidRDefault="00000000" w:rsidRPr="00000000" w14:paraId="0000001B">
      <w:pPr>
        <w:spacing w:after="0" w:lineRule="auto"/>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lineRule="auto"/>
        <w:ind w:hanging="2"/>
        <w:jc w:val="both"/>
        <w:rPr>
          <w:rFonts w:ascii="Arial" w:cs="Arial" w:eastAsia="Arial" w:hAnsi="Arial"/>
        </w:rPr>
      </w:pPr>
      <w:r w:rsidDel="00000000" w:rsidR="00000000" w:rsidRPr="00000000">
        <w:rPr>
          <w:rFonts w:ascii="Arial" w:cs="Arial" w:eastAsia="Arial" w:hAnsi="Arial"/>
          <w:rtl w:val="0"/>
        </w:rPr>
        <w:t xml:space="preserve">Más información en: </w:t>
      </w:r>
      <w:hyperlink r:id="rId8">
        <w:r w:rsidDel="00000000" w:rsidR="00000000" w:rsidRPr="00000000">
          <w:rPr>
            <w:rFonts w:ascii="Arial" w:cs="Arial" w:eastAsia="Arial" w:hAnsi="Arial"/>
            <w:color w:val="1155cc"/>
            <w:u w:val="single"/>
            <w:rtl w:val="0"/>
          </w:rPr>
          <w:t xml:space="preserve">www.seaic.org</w:t>
        </w:r>
      </w:hyperlink>
      <w:r w:rsidDel="00000000" w:rsidR="00000000" w:rsidRPr="00000000">
        <w:rPr>
          <w:rtl w:val="0"/>
        </w:rPr>
      </w:r>
    </w:p>
    <w:p w:rsidR="00000000" w:rsidDel="00000000" w:rsidP="00000000" w:rsidRDefault="00000000" w:rsidRPr="00000000" w14:paraId="0000001D">
      <w:pPr>
        <w:shd w:fill="ffffff" w:val="clear"/>
        <w:spacing w:after="16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*Para más información</w:t>
      </w:r>
    </w:p>
    <w:p w:rsidR="00000000" w:rsidDel="00000000" w:rsidP="00000000" w:rsidRDefault="00000000" w:rsidRPr="00000000" w14:paraId="0000001E">
      <w:pPr>
        <w:spacing w:after="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ALABRA / 91 789 14 59</w:t>
      </w:r>
    </w:p>
    <w:p w:rsidR="00000000" w:rsidDel="00000000" w:rsidP="00000000" w:rsidRDefault="00000000" w:rsidRPr="00000000" w14:paraId="0000001F">
      <w:pPr>
        <w:spacing w:after="0" w:before="240" w:lineRule="auto"/>
        <w:jc w:val="both"/>
        <w:rPr>
          <w:rFonts w:ascii="Arial" w:cs="Arial" w:eastAsia="Arial" w:hAnsi="Arial"/>
          <w:b w:val="1"/>
          <w:bCs w:val="1"/>
          <w:color w:val="0000ff"/>
        </w:rPr>
      </w:pPr>
      <w:r w:rsidDel="00000000" w:rsidR="00000000" w:rsidRPr="00000000">
        <w:rPr>
          <w:rFonts w:ascii="Arial" w:cs="Arial" w:eastAsia="Arial" w:hAnsi="Arial"/>
          <w:b w:val="1"/>
          <w:bCs w:val="1"/>
          <w:rtl w:val="0"/>
        </w:rPr>
        <w:t xml:space="preserve">Carolina López </w:t>
      </w:r>
      <w:hyperlink r:id="rId9">
        <w:r w:rsidDel="00000000" w:rsidR="00000000" w:rsidRPr="00000000">
          <w:rPr>
            <w:rFonts w:ascii="Arial" w:cs="Arial" w:eastAsia="Arial" w:hAnsi="Arial"/>
            <w:b w:val="1"/>
            <w:bCs w:val="1"/>
            <w:color w:val="1155cc"/>
            <w:u w:val="single"/>
            <w:rtl w:val="0"/>
          </w:rPr>
          <w:t xml:space="preserve">carolina.lopez@alabra.es</w:t>
        </w:r>
      </w:hyperlink>
      <w:r w:rsidDel="00000000" w:rsidR="00000000" w:rsidRPr="00000000">
        <w:rPr>
          <w:rtl w:val="0"/>
        </w:rPr>
      </w:r>
    </w:p>
    <w:p w:rsidR="00000000" w:rsidDel="00000000" w:rsidP="00000000" w:rsidRDefault="00000000" w:rsidRPr="00000000" w14:paraId="00000020">
      <w:pPr>
        <w:spacing w:after="0" w:before="240" w:lineRule="auto"/>
        <w:jc w:val="both"/>
        <w:rPr>
          <w:rFonts w:ascii="Arial" w:cs="Arial" w:eastAsia="Arial" w:hAnsi="Arial"/>
        </w:rPr>
      </w:pPr>
      <w:r w:rsidDel="00000000" w:rsidR="00000000" w:rsidRPr="00000000">
        <w:rPr>
          <w:rFonts w:ascii="Arial" w:cs="Arial" w:eastAsia="Arial" w:hAnsi="Arial"/>
          <w:b w:val="1"/>
          <w:bCs w:val="1"/>
          <w:rtl w:val="0"/>
        </w:rPr>
        <w:t xml:space="preserve">Helena Pastor </w:t>
      </w:r>
      <w:hyperlink r:id="rId10">
        <w:r w:rsidDel="00000000" w:rsidR="00000000" w:rsidRPr="00000000">
          <w:rPr>
            <w:rFonts w:ascii="Arial" w:cs="Arial" w:eastAsia="Arial" w:hAnsi="Arial"/>
            <w:b w:val="1"/>
            <w:bCs w:val="1"/>
            <w:color w:val="1155cc"/>
            <w:u w:val="single"/>
            <w:rtl w:val="0"/>
          </w:rPr>
          <w:t xml:space="preserve">helena.pastor@alabra.es</w:t>
        </w:r>
      </w:hyperlink>
      <w:r w:rsidDel="00000000" w:rsidR="00000000" w:rsidRPr="00000000">
        <w:rPr>
          <w:rtl w:val="0"/>
        </w:rPr>
      </w:r>
    </w:p>
    <w:sectPr>
      <w:head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helena.pastor@alabra.es" TargetMode="External"/><Relationship Id="rId9" Type="http://schemas.openxmlformats.org/officeDocument/2006/relationships/hyperlink" Target="mailto:carolina.lopez@alabr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31j1TzP98yqyMca+G6YxcB/bA==">CgMxLjA4AHIhMTlmVmdNSUYxY2s1Rlh1X0dUVklRdXZOSVBfTkFhWi1L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