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1"/>
          <w:szCs w:val="21"/>
          <w:u w:val="single"/>
        </w:rPr>
      </w:pPr>
      <w:r w:rsidDel="00000000" w:rsidR="00000000" w:rsidRPr="00000000">
        <w:rPr>
          <w:rFonts w:ascii="Arial" w:cs="Arial" w:eastAsia="Arial" w:hAnsi="Arial"/>
          <w:b w:val="1"/>
          <w:bCs w:val="1"/>
          <w:sz w:val="28"/>
          <w:szCs w:val="28"/>
        </w:rPr>
        <w:drawing>
          <wp:anchor allowOverlap="1" behindDoc="0" distB="0" distT="0" distL="114300" distR="114300" hidden="0" layoutInCell="1" locked="0" relativeHeight="0" simplePos="0">
            <wp:simplePos x="0" y="0"/>
            <wp:positionH relativeFrom="margin">
              <wp:posOffset>5326543</wp:posOffset>
            </wp:positionH>
            <wp:positionV relativeFrom="margin">
              <wp:posOffset>-820411</wp:posOffset>
            </wp:positionV>
            <wp:extent cx="933922" cy="103028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33922" cy="1030280"/>
                    </a:xfrm>
                    <a:prstGeom prst="rect"/>
                    <a:ln/>
                  </pic:spPr>
                </pic:pic>
              </a:graphicData>
            </a:graphic>
          </wp:anchor>
        </w:drawing>
      </w:r>
      <w:r w:rsidDel="00000000" w:rsidR="00000000" w:rsidRPr="00000000">
        <w:rPr>
          <w:rFonts w:ascii="Arial" w:cs="Arial" w:eastAsia="Arial" w:hAnsi="Arial"/>
          <w:b w:val="1"/>
          <w:bCs w:val="1"/>
          <w:sz w:val="21"/>
          <w:szCs w:val="21"/>
          <w:u w:val="single"/>
          <w:rtl w:val="0"/>
        </w:rPr>
        <w:t xml:space="preserve">En estas fechas tan especiales, sobre todo para los niños</w:t>
      </w:r>
    </w:p>
    <w:p w:rsidR="00000000" w:rsidDel="00000000" w:rsidP="00000000" w:rsidRDefault="00000000" w:rsidRPr="00000000" w14:paraId="00000002">
      <w:pPr>
        <w:shd w:fill="ffffff" w:val="clear"/>
        <w:spacing w:after="0" w:before="240" w:line="276" w:lineRule="auto"/>
        <w:jc w:val="center"/>
        <w:rPr>
          <w:rFonts w:ascii="Arial" w:cs="Arial" w:eastAsia="Arial" w:hAnsi="Arial"/>
          <w:b w:val="1"/>
          <w:bCs w:val="1"/>
          <w:sz w:val="30"/>
          <w:szCs w:val="30"/>
          <w:highlight w:val="yellow"/>
        </w:rPr>
      </w:pPr>
      <w:r w:rsidDel="00000000" w:rsidR="00000000" w:rsidRPr="00000000">
        <w:rPr>
          <w:rFonts w:ascii="Arial" w:cs="Arial" w:eastAsia="Arial" w:hAnsi="Arial"/>
          <w:b w:val="1"/>
          <w:bCs w:val="1"/>
          <w:sz w:val="30"/>
          <w:szCs w:val="30"/>
          <w:rtl w:val="0"/>
        </w:rPr>
        <w:t xml:space="preserve">La SEAIC subraya la importancia de evitar los alérgenos y recuerda que los cofactores pueden aumentar el riesgo de sufrir una reacción alérgica</w:t>
      </w:r>
      <w:r w:rsidDel="00000000" w:rsidR="00000000" w:rsidRPr="00000000">
        <w:rPr>
          <w:rFonts w:ascii="Arial" w:cs="Arial" w:eastAsia="Arial" w:hAnsi="Arial"/>
          <w:b w:val="1"/>
          <w:bCs w:val="1"/>
          <w:sz w:val="30"/>
          <w:szCs w:val="30"/>
          <w:highlight w:val="yellow"/>
          <w:rtl w:val="0"/>
        </w:rPr>
        <w:t xml:space="preserve"> </w:t>
      </w:r>
    </w:p>
    <w:p w:rsidR="00000000" w:rsidDel="00000000" w:rsidP="00000000" w:rsidRDefault="00000000" w:rsidRPr="00000000" w14:paraId="00000003">
      <w:pPr>
        <w:shd w:fill="ffffff" w:val="clear"/>
        <w:spacing w:after="0" w:line="256.8" w:lineRule="auto"/>
        <w:ind w:left="1080" w:hanging="360"/>
        <w:jc w:val="both"/>
        <w:rPr>
          <w:rFonts w:ascii="Arial" w:cs="Arial" w:eastAsia="Arial" w:hAnsi="Arial"/>
          <w:b w:val="1"/>
          <w:bCs w:val="1"/>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bCs w:val="1"/>
          <w:rtl w:val="0"/>
        </w:rPr>
        <w:t xml:space="preserve">Los cofactores son elementos como el ejercicio, el cansancio o la fiebre que, al interactuar con un alimento alérgeno, pueden desencadenar o intensificar una reacción alérgica leve en pacientes susceptibles, convirtiéndola en una situación grave.</w:t>
      </w:r>
    </w:p>
    <w:p w:rsidR="00000000" w:rsidDel="00000000" w:rsidP="00000000" w:rsidRDefault="00000000" w:rsidRPr="00000000" w14:paraId="00000004">
      <w:pPr>
        <w:shd w:fill="ffffff" w:val="clear"/>
        <w:spacing w:after="0" w:line="256.8"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5">
      <w:pPr>
        <w:shd w:fill="ffffff" w:val="clear"/>
        <w:spacing w:after="0" w:line="256.8" w:lineRule="auto"/>
        <w:ind w:left="1080" w:hanging="360"/>
        <w:jc w:val="both"/>
        <w:rPr>
          <w:rFonts w:ascii="Arial" w:cs="Arial" w:eastAsia="Arial" w:hAnsi="Arial"/>
          <w:b w:val="1"/>
          <w:bCs w:val="1"/>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bCs w:val="1"/>
          <w:rtl w:val="0"/>
        </w:rPr>
        <w:t xml:space="preserve">Los alergólogos ofrecen ocho claves para evitar reacciones alérgicas en niños durante las comidas navideñas.</w:t>
      </w:r>
    </w:p>
    <w:p w:rsidR="00000000" w:rsidDel="00000000" w:rsidP="00000000" w:rsidRDefault="00000000" w:rsidRPr="00000000" w14:paraId="00000006">
      <w:pPr>
        <w:shd w:fill="ffffff" w:val="clear"/>
        <w:spacing w:after="0" w:line="256.8" w:lineRule="auto"/>
        <w:ind w:left="72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7">
      <w:pPr>
        <w:shd w:fill="ffffff" w:val="clear"/>
        <w:spacing w:after="0" w:line="256.8" w:lineRule="auto"/>
        <w:ind w:left="1080" w:hanging="360"/>
        <w:jc w:val="both"/>
        <w:rPr>
          <w:rFonts w:ascii="Arial" w:cs="Arial" w:eastAsia="Arial" w:hAnsi="Arial"/>
          <w:b w:val="1"/>
          <w:bCs w:val="1"/>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bCs w:val="1"/>
          <w:rtl w:val="0"/>
        </w:rPr>
        <w:t xml:space="preserve">La SEAIC recuerda la importancia de la planificación, el etiquetado y la prevención en estas fechas, donde aumenta el consumo de alimentos potencialmente alergénicos, como pescado, mariscos y frutos secos.</w:t>
      </w:r>
    </w:p>
    <w:p w:rsidR="00000000" w:rsidDel="00000000" w:rsidP="00000000" w:rsidRDefault="00000000" w:rsidRPr="00000000" w14:paraId="00000008">
      <w:pPr>
        <w:shd w:fill="ffffff" w:val="clear"/>
        <w:spacing w:after="240" w:before="240" w:lineRule="auto"/>
        <w:jc w:val="both"/>
        <w:rPr>
          <w:rFonts w:ascii="Arial" w:cs="Arial" w:eastAsia="Arial" w:hAnsi="Arial"/>
        </w:rPr>
      </w:pPr>
      <w:r w:rsidDel="00000000" w:rsidR="00000000" w:rsidRPr="00000000">
        <w:rPr>
          <w:rFonts w:ascii="Arial" w:cs="Arial" w:eastAsia="Arial" w:hAnsi="Arial"/>
          <w:b w:val="1"/>
          <w:bCs w:val="1"/>
          <w:rtl w:val="0"/>
        </w:rPr>
        <w:t xml:space="preserve">Madrid, 22 de diciembre de 2025 — </w:t>
      </w:r>
      <w:r w:rsidDel="00000000" w:rsidR="00000000" w:rsidRPr="00000000">
        <w:rPr>
          <w:rFonts w:ascii="Arial" w:cs="Arial" w:eastAsia="Arial" w:hAnsi="Arial"/>
          <w:rtl w:val="0"/>
        </w:rPr>
        <w:t xml:space="preserve">La Navidad es una época de celebraciones, comidas especiales y cambios en la rutina familiar, y por ello supone un periodo de mayor riesgo para los niños con alergias alimentarias. El aumento del consumo de pescado, marisco, frutos secos y dulces navideños, junto con las comidas fuera de casa, obliga a las familias a extremar las precauciones.</w:t>
      </w:r>
    </w:p>
    <w:p w:rsidR="00000000" w:rsidDel="00000000" w:rsidP="00000000" w:rsidRDefault="00000000" w:rsidRPr="00000000" w14:paraId="00000009">
      <w:pPr>
        <w:shd w:fill="ffffff" w:val="clear"/>
        <w:spacing w:after="240" w:before="240" w:lineRule="auto"/>
        <w:jc w:val="both"/>
        <w:rPr>
          <w:rFonts w:ascii="Arial" w:cs="Arial" w:eastAsia="Arial" w:hAnsi="Arial"/>
          <w:b w:val="1"/>
          <w:bCs w:val="1"/>
        </w:rPr>
      </w:pPr>
      <w:r w:rsidDel="00000000" w:rsidR="00000000" w:rsidRPr="00000000">
        <w:rPr>
          <w:rFonts w:ascii="Arial" w:cs="Arial" w:eastAsia="Arial" w:hAnsi="Arial"/>
          <w:rtl w:val="0"/>
        </w:rPr>
        <w:t xml:space="preserve">De hecho, los alergólogos, los especialistas en diagnosticar y tratar la alergia a lo largo de toda la vida de los pacientes, señalan también la importancia del control de los cofactores en pacientes susceptibles. Se trata de elementos como el ejercicio, el cansancio, la toma de antinflamatorios o la fiebre que, al interactuar con un alimento alérgeno, pueden provocar o intensificar una reacción alérgica leve, convirtiéndola potencialmente en grave. Puede ocurrir en paciente que presentan unos síntomas leves con un alimento o sin presentar reacción anteriormente debutar tras el consumo del alimento al que se es alérgico, normalmente en cantidades correspondientes a una ración. </w:t>
      </w:r>
      <w:r w:rsidDel="00000000" w:rsidR="00000000" w:rsidRPr="00000000">
        <w:rPr>
          <w:rFonts w:ascii="Arial" w:cs="Arial" w:eastAsia="Arial" w:hAnsi="Arial"/>
          <w:i w:val="1"/>
          <w:iCs w:val="1"/>
          <w:rtl w:val="0"/>
        </w:rPr>
        <w:t xml:space="preserve">“Los cofactores puede aumentar el riesgo de sufrir una reacción alérgica. Por ello, en pacientes con alergia a los alimentos, el manejo adecuado de estos factores es clave para prevenir reacciones más graves, ya que su presencia puede alterar la respuesta inmunitaria y hacerla más difícil de controlar. Por lo tanto, es fundamental tener en cuenta no solo el alérgeno en cuestión, sino también estos factores de riesgo adicionales, especialmente en situaciones de alta excitación o actividad, como durante las celebraciones navideñas”</w:t>
      </w:r>
      <w:r w:rsidDel="00000000" w:rsidR="00000000" w:rsidRPr="00000000">
        <w:rPr>
          <w:rFonts w:ascii="Arial" w:cs="Arial" w:eastAsia="Arial" w:hAnsi="Arial"/>
          <w:rtl w:val="0"/>
        </w:rPr>
        <w:t xml:space="preserve">, explica la </w:t>
      </w:r>
      <w:r w:rsidDel="00000000" w:rsidR="00000000" w:rsidRPr="00000000">
        <w:rPr>
          <w:rFonts w:ascii="Arial" w:cs="Arial" w:eastAsia="Arial" w:hAnsi="Arial"/>
          <w:b w:val="1"/>
          <w:bCs w:val="1"/>
          <w:rtl w:val="0"/>
        </w:rPr>
        <w:t xml:space="preserve">doctora Mª José Goikoetxea Lapresa, vicepresidenta del Comité de Alergia a los Alimentos de la Sociedad E española de Alergología e Inmunología Clínica (SEAIC).</w:t>
      </w:r>
    </w:p>
    <w:p w:rsidR="00000000" w:rsidDel="00000000" w:rsidP="00000000" w:rsidRDefault="00000000" w:rsidRPr="00000000" w14:paraId="0000000A">
      <w:pPr>
        <w:shd w:fill="ffffff" w:val="clear"/>
        <w:spacing w:after="240" w:before="240" w:lineRule="auto"/>
        <w:jc w:val="both"/>
        <w:rPr>
          <w:rFonts w:ascii="Arial" w:cs="Arial" w:eastAsia="Arial" w:hAnsi="Arial"/>
        </w:rPr>
      </w:pPr>
      <w:r w:rsidDel="00000000" w:rsidR="00000000" w:rsidRPr="00000000">
        <w:rPr>
          <w:rFonts w:ascii="Arial" w:cs="Arial" w:eastAsia="Arial" w:hAnsi="Arial"/>
          <w:rtl w:val="0"/>
        </w:rPr>
        <w:t xml:space="preserve">Con el fin de asegurar que los niños con alergias alimentarias disfruten de unas fiestas seguras y tranquilas, la SEAIC ha elaborado ocho recomendaciones para minimizar los riesgos durante las comidas navideñas:</w:t>
      </w:r>
    </w:p>
    <w:p w:rsidR="00000000" w:rsidDel="00000000" w:rsidP="00000000" w:rsidRDefault="00000000" w:rsidRPr="00000000" w14:paraId="0000000B">
      <w:pPr>
        <w:numPr>
          <w:ilvl w:val="0"/>
          <w:numId w:val="7"/>
        </w:numPr>
        <w:shd w:fill="ffffff" w:val="clear"/>
        <w:spacing w:after="480" w:before="240" w:lineRule="auto"/>
        <w:ind w:left="720" w:hanging="360"/>
        <w:jc w:val="both"/>
        <w:rPr/>
      </w:pPr>
      <w:r w:rsidDel="00000000" w:rsidR="00000000" w:rsidRPr="00000000">
        <w:rPr>
          <w:rFonts w:ascii="Arial" w:cs="Arial" w:eastAsia="Arial" w:hAnsi="Arial"/>
          <w:b w:val="1"/>
          <w:bCs w:val="1"/>
          <w:rtl w:val="0"/>
        </w:rPr>
        <w:t xml:space="preserve">Revisa siempre las etiquetas de los productos.</w:t>
      </w:r>
    </w:p>
    <w:p w:rsidR="00000000" w:rsidDel="00000000" w:rsidP="00000000" w:rsidRDefault="00000000" w:rsidRPr="00000000" w14:paraId="0000000C">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Durante las festividades, los turrones, polvorones y dulces navideños pueden contener frutos secos, incluso si no aparecen en la etiqueta principal. Es fundamental verificar tanto las advertencias de trazas en los etiquetados como los ingredientes “ocultos” en los platos preparados, (aceites, harinas, salsas o chocolates), que pueden estar presentes sin ser evidentes. Recuerda que las etiquetas de los productos pueden cambiar, así que revisa siempre antes de comprar. En estos casos, los errores más comunes suelen ser:</w:t>
      </w:r>
    </w:p>
    <w:p w:rsidR="00000000" w:rsidDel="00000000" w:rsidP="00000000" w:rsidRDefault="00000000" w:rsidRPr="00000000" w14:paraId="0000000D">
      <w:pPr>
        <w:shd w:fill="ffffff" w:val="clear"/>
        <w:spacing w:after="0" w:before="24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rtl w:val="0"/>
        </w:rPr>
        <w:t xml:space="preserve">Creer que "sin cacahuete" significa sin frutos secos.</w:t>
        <w:br w:type="textWrapping"/>
      </w:r>
    </w:p>
    <w:p w:rsidR="00000000" w:rsidDel="00000000" w:rsidP="00000000" w:rsidRDefault="00000000" w:rsidRPr="00000000" w14:paraId="0000000E">
      <w:pPr>
        <w:shd w:fill="ffffff" w:val="clear"/>
        <w:spacing w:after="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No leer las etiquetas cada vez que se adquiere un producto.</w:t>
        <w:br w:type="textWrapping"/>
      </w:r>
    </w:p>
    <w:p w:rsidR="00000000" w:rsidDel="00000000" w:rsidP="00000000" w:rsidRDefault="00000000" w:rsidRPr="00000000" w14:paraId="0000000F">
      <w:pPr>
        <w:shd w:fill="ffffff" w:val="clear"/>
        <w:spacing w:after="24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Ignorar las advertencias de trazas.</w:t>
      </w:r>
    </w:p>
    <w:p w:rsidR="00000000" w:rsidDel="00000000" w:rsidP="00000000" w:rsidRDefault="00000000" w:rsidRPr="00000000" w14:paraId="00000010">
      <w:pPr>
        <w:shd w:fill="ffffff" w:val="clear"/>
        <w:spacing w:after="240" w:befor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2"/>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Introduce los alimentos nuevos de forma gradual</w:t>
      </w:r>
    </w:p>
    <w:p w:rsidR="00000000" w:rsidDel="00000000" w:rsidP="00000000" w:rsidRDefault="00000000" w:rsidRPr="00000000" w14:paraId="00000012">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Si tu hijo no ha probado ciertos alimentos, como el marisco o el pescado, debes introducírselos de manera progresiva, antes del año de edad. No retrases la introducción de alimentos alérgicos, ya que no se ha demostrado que esto pueda prevenir las alergias. Introduce un solo alimento nuevo a la vez y espera 48 horas antes de agregar otro, para poder detectar posibles reacciones alérgicas inmediatas o retardadas.</w:t>
      </w:r>
    </w:p>
    <w:p w:rsidR="00000000" w:rsidDel="00000000" w:rsidP="00000000" w:rsidRDefault="00000000" w:rsidRPr="00000000" w14:paraId="00000013">
      <w:pPr>
        <w:numPr>
          <w:ilvl w:val="0"/>
          <w:numId w:val="6"/>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Sustituye los ingredientes alergénicos</w:t>
      </w:r>
    </w:p>
    <w:p w:rsidR="00000000" w:rsidDel="00000000" w:rsidP="00000000" w:rsidRDefault="00000000" w:rsidRPr="00000000" w14:paraId="00000014">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Muchos alérgenos comunes, como la leche, el huevo y los frutos secos, pueden ser reemplazados por alternativas seguras sin perder sabor. Por ejemplo, la bebida de soja enriquecida en calcio y vitamina D puede sustituir a la leche, y la harina de garbanzo puede reemplazar al huevo en diversas recetas. Así, puedes disfrutar de los platos tradicionales sin preocupaciones</w:t>
      </w:r>
    </w:p>
    <w:p w:rsidR="00000000" w:rsidDel="00000000" w:rsidP="00000000" w:rsidRDefault="00000000" w:rsidRPr="00000000" w14:paraId="00000015">
      <w:pPr>
        <w:numPr>
          <w:ilvl w:val="0"/>
          <w:numId w:val="5"/>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Crea un menú navideño inclusivo: en lugar de sustituir ingredientes</w:t>
      </w:r>
    </w:p>
    <w:p w:rsidR="00000000" w:rsidDel="00000000" w:rsidP="00000000" w:rsidRDefault="00000000" w:rsidRPr="00000000" w14:paraId="00000016">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Adaptar las recetas tradicionales para que sean seguras para todos es una forma de cuidar a tus seres queridos. Involucra a los niños en la preparación de la comida, lo que no solo garantiza la seguridad alimentaria, sino que también fomenta la unión familiar. Un menú único para todos transforma la cocina navideña en un espacio inclusivo y festivo</w:t>
      </w:r>
    </w:p>
    <w:p w:rsidR="00000000" w:rsidDel="00000000" w:rsidP="00000000" w:rsidRDefault="00000000" w:rsidRPr="00000000" w14:paraId="00000017">
      <w:pPr>
        <w:numPr>
          <w:ilvl w:val="0"/>
          <w:numId w:val="3"/>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Evita la contaminación cruzada</w:t>
      </w:r>
    </w:p>
    <w:p w:rsidR="00000000" w:rsidDel="00000000" w:rsidP="00000000" w:rsidRDefault="00000000" w:rsidRPr="00000000" w14:paraId="00000018">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Para evitar que los alérgenos entren en contacto con otros alimentos, organiza bien la cocina. Utiliza utensilios diferentes para los alimentos con alérgenos y aquellos sin ellos, y asegúrate de limpiar exhaustivamente todas las superficies y electrodomésticos después de preparar cada plato.</w:t>
      </w:r>
    </w:p>
    <w:p w:rsidR="00000000" w:rsidDel="00000000" w:rsidP="00000000" w:rsidRDefault="00000000" w:rsidRPr="00000000" w14:paraId="00000019">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Usa también recipientes herméticos para almacenar los alimentos y prevenir derrames.</w:t>
      </w:r>
    </w:p>
    <w:p w:rsidR="00000000" w:rsidDel="00000000" w:rsidP="00000000" w:rsidRDefault="00000000" w:rsidRPr="00000000" w14:paraId="0000001A">
      <w:pPr>
        <w:numPr>
          <w:ilvl w:val="0"/>
          <w:numId w:val="4"/>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Evita los cofactores de reacciones alérgicas</w:t>
      </w:r>
    </w:p>
    <w:p w:rsidR="00000000" w:rsidDel="00000000" w:rsidP="00000000" w:rsidRDefault="00000000" w:rsidRPr="00000000" w14:paraId="0000001B">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Los cofactores, como el ejercicio físico, los medicamentos antiinflamatorios no esteroideos (AINEs), como por ejemplo el ibuprofeno, las infecciones que cursan con fiebre, el cansancio intenso o falta de sueño, entre otros, pueden facilitar o intensificar las reacciones alérgicas.</w:t>
      </w:r>
    </w:p>
    <w:p w:rsidR="00000000" w:rsidDel="00000000" w:rsidP="00000000" w:rsidRDefault="00000000" w:rsidRPr="00000000" w14:paraId="0000001C">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En pacientes con alergia conocida a los alimentos, es importante no combinarlos con estas situaciones. Se recomienda extremar el control en pacientes en inmunoterapia oral con alimentos, evitando la combinación de la dosis de alérgeno con actividades físicas intensas. También se debe tener en cuenta que la excitación o el cansancio pueden incrementar el riesgo de reacciones alérgicas</w:t>
      </w:r>
      <w:r w:rsidDel="00000000" w:rsidR="00000000" w:rsidRPr="00000000">
        <w:rPr>
          <w:rFonts w:ascii="Arial" w:cs="Arial" w:eastAsia="Arial" w:hAnsi="Arial"/>
          <w:rtl w:val="0"/>
        </w:rPr>
        <w:t xml:space="preserve">. Recuerda con tu alergólogo el manejo del tratamiento en estas situaciones y cómo debes modificar las dosis si resulta más seguro.</w:t>
      </w:r>
    </w:p>
    <w:p w:rsidR="00000000" w:rsidDel="00000000" w:rsidP="00000000" w:rsidRDefault="00000000" w:rsidRPr="00000000" w14:paraId="0000001D">
      <w:pPr>
        <w:numPr>
          <w:ilvl w:val="0"/>
          <w:numId w:val="8"/>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Diferencia una reacción alérgica de una intoxicación alimentaria</w:t>
      </w:r>
    </w:p>
    <w:p w:rsidR="00000000" w:rsidDel="00000000" w:rsidP="00000000" w:rsidRDefault="00000000" w:rsidRPr="00000000" w14:paraId="0000001E">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Es importante saber reconocer las diferencias entre una reacción alérgica y una intoxicación alimentaria.</w:t>
      </w:r>
    </w:p>
    <w:p w:rsidR="00000000" w:rsidDel="00000000" w:rsidP="00000000" w:rsidRDefault="00000000" w:rsidRPr="00000000" w14:paraId="0000001F">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Las alergias alimentarias suelen causar síntomas como urticaria, angioedema, dificultad para respirar y, en casos graves, anafilaxia. En cambio, la intoxicación alimentaria por mariscos o pescado suele presentar síntomas digestivos habitualmente. Una intoxicación típica del pescado azul es la escombroidosis, </w:t>
      </w:r>
      <w:r w:rsidDel="00000000" w:rsidR="00000000" w:rsidRPr="00000000">
        <w:rPr>
          <w:rFonts w:ascii="Arial" w:cs="Arial" w:eastAsia="Arial" w:hAnsi="Arial"/>
          <w:color w:val="c00000"/>
          <w:rtl w:val="0"/>
        </w:rPr>
        <w:t xml:space="preserve">y </w:t>
      </w:r>
      <w:r w:rsidDel="00000000" w:rsidR="00000000" w:rsidRPr="00000000">
        <w:rPr>
          <w:rFonts w:ascii="Arial" w:cs="Arial" w:eastAsia="Arial" w:hAnsi="Arial"/>
          <w:rtl w:val="0"/>
        </w:rPr>
        <w:t xml:space="preserve">se presenta con síntomas digestivos (náuseas, vómitos y diarrea) y enrojecimiento intenso de la piel.</w:t>
      </w:r>
    </w:p>
    <w:p w:rsidR="00000000" w:rsidDel="00000000" w:rsidP="00000000" w:rsidRDefault="00000000" w:rsidRPr="00000000" w14:paraId="00000020">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Identificar estos síntomas es fundamental para poder actuar de manera adecuada en cualquiera de las dos situaciones.</w:t>
      </w:r>
    </w:p>
    <w:p w:rsidR="00000000" w:rsidDel="00000000" w:rsidP="00000000" w:rsidRDefault="00000000" w:rsidRPr="00000000" w14:paraId="00000021">
      <w:pPr>
        <w:numPr>
          <w:ilvl w:val="0"/>
          <w:numId w:val="1"/>
        </w:numPr>
        <w:shd w:fill="ffffff" w:val="clear"/>
        <w:spacing w:after="480" w:before="240" w:lineRule="auto"/>
        <w:ind w:left="720" w:hanging="360"/>
        <w:rPr/>
      </w:pPr>
      <w:r w:rsidDel="00000000" w:rsidR="00000000" w:rsidRPr="00000000">
        <w:rPr>
          <w:rFonts w:ascii="Arial" w:cs="Arial" w:eastAsia="Arial" w:hAnsi="Arial"/>
          <w:b w:val="1"/>
          <w:bCs w:val="1"/>
          <w:rtl w:val="0"/>
        </w:rPr>
        <w:t xml:space="preserve">En el caso de una reacción alérgica generalizada: utiliza el autoinyector de adrenalina</w:t>
      </w:r>
    </w:p>
    <w:p w:rsidR="00000000" w:rsidDel="00000000" w:rsidP="00000000" w:rsidRDefault="00000000" w:rsidRPr="00000000" w14:paraId="00000022">
      <w:pPr>
        <w:shd w:fill="ffffff" w:val="clear"/>
        <w:spacing w:after="240" w:before="240" w:lineRule="auto"/>
        <w:rPr>
          <w:rFonts w:ascii="Arial" w:cs="Arial" w:eastAsia="Arial" w:hAnsi="Arial"/>
        </w:rPr>
      </w:pPr>
      <w:r w:rsidDel="00000000" w:rsidR="00000000" w:rsidRPr="00000000">
        <w:rPr>
          <w:rFonts w:ascii="Arial" w:cs="Arial" w:eastAsia="Arial" w:hAnsi="Arial"/>
          <w:rtl w:val="0"/>
        </w:rPr>
        <w:t xml:space="preserve">Si tu hijo presenta una reacción alérgica generalizada (afecta a dos o más sistemas), sigue el protocolo recomendado por su alergólogo. Ten siempre a mano su autoinyector de adrenalina y asegúrate de que no esté caducado. A continuación, debes:</w:t>
      </w:r>
    </w:p>
    <w:p w:rsidR="00000000" w:rsidDel="00000000" w:rsidP="00000000" w:rsidRDefault="00000000" w:rsidRPr="00000000" w14:paraId="00000023">
      <w:pPr>
        <w:shd w:fill="ffffff" w:val="clear"/>
        <w:spacing w:after="0" w:before="24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bCs w:val="1"/>
          <w:rtl w:val="0"/>
        </w:rPr>
        <w:t xml:space="preserve">Retirar la tapa</w:t>
      </w:r>
      <w:r w:rsidDel="00000000" w:rsidR="00000000" w:rsidRPr="00000000">
        <w:rPr>
          <w:rFonts w:ascii="Arial" w:cs="Arial" w:eastAsia="Arial" w:hAnsi="Arial"/>
          <w:rtl w:val="0"/>
        </w:rPr>
        <w:t xml:space="preserve"> de seguridad del autoinyector</w:t>
      </w:r>
    </w:p>
    <w:p w:rsidR="00000000" w:rsidDel="00000000" w:rsidP="00000000" w:rsidRDefault="00000000" w:rsidRPr="00000000" w14:paraId="00000024">
      <w:pPr>
        <w:shd w:fill="ffffff" w:val="clear"/>
        <w:spacing w:after="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Administrar la inyección:</w:t>
      </w:r>
      <w:r w:rsidDel="00000000" w:rsidR="00000000" w:rsidRPr="00000000">
        <w:rPr>
          <w:rFonts w:ascii="Arial" w:cs="Arial" w:eastAsia="Arial" w:hAnsi="Arial"/>
          <w:rtl w:val="0"/>
        </w:rPr>
        <w:t xml:space="preserve"> coloca el extremo del autoinyector perpendicularmente contra la parte externa del muslo (puede hacerse a través de la ropa) y presiona firmemente hasta escuchar un clic, que indica el inicio de la administración intramuscular de adrenalina. Mantén el dispositivo en el muslo durante 5–10 segundos para asegurar que se complete la inyección.</w:t>
      </w:r>
    </w:p>
    <w:p w:rsidR="00000000" w:rsidDel="00000000" w:rsidP="00000000" w:rsidRDefault="00000000" w:rsidRPr="00000000" w14:paraId="00000025">
      <w:pPr>
        <w:shd w:fill="ffffff" w:val="clear"/>
        <w:spacing w:after="240" w:lineRule="auto"/>
        <w:ind w:left="108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bCs w:val="1"/>
          <w:rtl w:val="0"/>
        </w:rPr>
        <w:t xml:space="preserve">Buscar atención médica urgente:</w:t>
      </w:r>
      <w:r w:rsidDel="00000000" w:rsidR="00000000" w:rsidRPr="00000000">
        <w:rPr>
          <w:rFonts w:ascii="Arial" w:cs="Arial" w:eastAsia="Arial" w:hAnsi="Arial"/>
          <w:rtl w:val="0"/>
        </w:rPr>
        <w:t xml:space="preserve"> después de administrar la adrenalina, solicita atención de manera inmediata, incluso si los síntomas mejoran, ya que la anafilaxia puede requerir evaluación y tratamiento adicional.</w:t>
      </w:r>
    </w:p>
    <w:p w:rsidR="00000000" w:rsidDel="00000000" w:rsidP="00000000" w:rsidRDefault="00000000" w:rsidRPr="00000000" w14:paraId="00000026">
      <w:pPr>
        <w:shd w:fill="ffffff" w:val="clear"/>
        <w:spacing w:after="240" w:before="240" w:lineRule="auto"/>
        <w:rPr>
          <w:rFonts w:ascii="Arial" w:cs="Arial" w:eastAsia="Arial" w:hAnsi="Arial"/>
          <w:b w:val="1"/>
          <w:bCs w:val="1"/>
          <w:sz w:val="30"/>
          <w:szCs w:val="30"/>
        </w:rPr>
      </w:pPr>
      <w:r w:rsidDel="00000000" w:rsidR="00000000" w:rsidRPr="00000000">
        <w:rPr>
          <w:rFonts w:ascii="Arial" w:cs="Arial" w:eastAsia="Arial" w:hAnsi="Arial"/>
          <w:rtl w:val="0"/>
        </w:rPr>
        <w:t xml:space="preserve">La Sociedad Española de Alergología e Inmunología Clínica (SEAIC) anima a las familias a planificar con antelación y tomar las medidas necesarias para prevenir reacciones alérgicas, garantizando que todos los miembros de la familia, especialmente los niños, puedan disfrutar de unas celebraciones seguras y sin preocupaciones. </w:t>
      </w:r>
      <w:r w:rsidDel="00000000" w:rsidR="00000000" w:rsidRPr="00000000">
        <w:rPr>
          <w:rtl w:val="0"/>
        </w:rPr>
      </w:r>
    </w:p>
    <w:p w:rsidR="00000000" w:rsidDel="00000000" w:rsidP="00000000" w:rsidRDefault="00000000" w:rsidRPr="00000000" w14:paraId="00000027">
      <w:pPr>
        <w:shd w:fill="ffffff" w:val="clear"/>
        <w:spacing w:after="16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*Para más información</w:t>
      </w:r>
    </w:p>
    <w:p w:rsidR="00000000" w:rsidDel="00000000" w:rsidP="00000000" w:rsidRDefault="00000000" w:rsidRPr="00000000" w14:paraId="00000028">
      <w:pPr>
        <w:spacing w:after="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ALABRA / 91 789 14 59</w:t>
      </w:r>
    </w:p>
    <w:p w:rsidR="00000000" w:rsidDel="00000000" w:rsidP="00000000" w:rsidRDefault="00000000" w:rsidRPr="00000000" w14:paraId="00000029">
      <w:pPr>
        <w:spacing w:after="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Helena Pastor </w:t>
      </w:r>
      <w:hyperlink r:id="rId8">
        <w:r w:rsidDel="00000000" w:rsidR="00000000" w:rsidRPr="00000000">
          <w:rPr>
            <w:rFonts w:ascii="Arial" w:cs="Arial" w:eastAsia="Arial" w:hAnsi="Arial"/>
            <w:b w:val="1"/>
            <w:bCs w:val="1"/>
            <w:color w:val="1155cc"/>
            <w:u w:val="single"/>
            <w:rtl w:val="0"/>
          </w:rPr>
          <w:t xml:space="preserve">helena.pastor@alabra.es</w:t>
        </w:r>
      </w:hyperlink>
      <w:r w:rsidDel="00000000" w:rsidR="00000000" w:rsidRPr="00000000">
        <w:rPr>
          <w:rtl w:val="0"/>
        </w:rPr>
      </w:r>
    </w:p>
    <w:p w:rsidR="00000000" w:rsidDel="00000000" w:rsidP="00000000" w:rsidRDefault="00000000" w:rsidRPr="00000000" w14:paraId="0000002A">
      <w:pPr>
        <w:spacing w:after="0" w:before="240" w:lineRule="auto"/>
        <w:jc w:val="both"/>
        <w:rPr>
          <w:rFonts w:ascii="Arial" w:cs="Arial" w:eastAsia="Arial" w:hAnsi="Arial"/>
        </w:rPr>
      </w:pPr>
      <w:r w:rsidDel="00000000" w:rsidR="00000000" w:rsidRPr="00000000">
        <w:rPr>
          <w:rFonts w:ascii="Arial" w:cs="Arial" w:eastAsia="Arial" w:hAnsi="Arial"/>
          <w:b w:val="1"/>
          <w:bCs w:val="1"/>
          <w:rtl w:val="0"/>
        </w:rPr>
        <w:t xml:space="preserve">Carolina López </w:t>
      </w:r>
      <w:hyperlink r:id="rId9">
        <w:r w:rsidDel="00000000" w:rsidR="00000000" w:rsidRPr="00000000">
          <w:rPr>
            <w:rFonts w:ascii="Arial" w:cs="Arial" w:eastAsia="Arial" w:hAnsi="Arial"/>
            <w:b w:val="1"/>
            <w:bCs w:val="1"/>
            <w:color w:val="1155cc"/>
            <w:u w:val="single"/>
            <w:rtl w:val="0"/>
          </w:rPr>
          <w:t xml:space="preserve">carolina.lopez@alabra.es</w:t>
        </w:r>
      </w:hyperlink>
      <w:r w:rsidDel="00000000" w:rsidR="00000000" w:rsidRPr="00000000">
        <w:rPr>
          <w:rtl w:val="0"/>
        </w:rPr>
      </w:r>
    </w:p>
    <w:sectPr>
      <w:headerReference r:id="rId10"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7"/>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arolina.lopez@alabr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helena.pastor@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Ej7MYjuBtHegL9zSAP8BAU/cQ==">CgMxLjA4AHIhMUxaSGFaTGttVE1mZjE2QnplMzJqU2pqZWtKRWp6TjlO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