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12" w:lineRule="auto"/>
        <w:ind w:left="-1701" w:firstLine="0"/>
        <w:jc w:val="center"/>
        <w:rPr/>
      </w:pPr>
      <w:r w:rsidDel="00000000" w:rsidR="00000000" w:rsidRPr="00000000">
        <w:rPr>
          <w:rtl w:val="0"/>
        </w:rPr>
      </w:r>
    </w:p>
    <w:p w:rsidR="00000000" w:rsidDel="00000000" w:rsidP="00000000" w:rsidRDefault="00000000" w:rsidRPr="00000000" w14:paraId="00000002">
      <w:pPr>
        <w:spacing w:line="312" w:lineRule="auto"/>
        <w:ind w:left="-1701" w:firstLine="0"/>
        <w:jc w:val="center"/>
        <w:rPr/>
      </w:pPr>
      <w:r w:rsidDel="00000000" w:rsidR="00000000" w:rsidRPr="00000000">
        <w:rPr>
          <w:rtl w:val="0"/>
        </w:rPr>
      </w:r>
    </w:p>
    <w:p w:rsidR="00000000" w:rsidDel="00000000" w:rsidP="00000000" w:rsidRDefault="00000000" w:rsidRPr="00000000" w14:paraId="00000003">
      <w:pPr>
        <w:spacing w:line="312" w:lineRule="auto"/>
        <w:ind w:left="-1701" w:firstLine="0"/>
        <w:jc w:val="center"/>
        <w:rPr/>
      </w:pPr>
      <w:r w:rsidDel="00000000" w:rsidR="00000000" w:rsidRPr="00000000">
        <w:rPr>
          <w:rtl w:val="0"/>
        </w:rPr>
      </w:r>
    </w:p>
    <w:p w:rsidR="00000000" w:rsidDel="00000000" w:rsidP="00000000" w:rsidRDefault="00000000" w:rsidRPr="00000000" w14:paraId="00000004">
      <w:pPr>
        <w:spacing w:line="312" w:lineRule="auto"/>
        <w:ind w:left="-1701" w:firstLine="0"/>
        <w:jc w:val="center"/>
        <w:rPr/>
      </w:pPr>
      <w:r w:rsidDel="00000000" w:rsidR="00000000" w:rsidRPr="00000000">
        <w:rPr>
          <w:rtl w:val="0"/>
        </w:rPr>
      </w:r>
    </w:p>
    <w:p w:rsidR="00000000" w:rsidDel="00000000" w:rsidP="00000000" w:rsidRDefault="00000000" w:rsidRPr="00000000" w14:paraId="00000005">
      <w:pPr>
        <w:spacing w:line="312" w:lineRule="auto"/>
        <w:ind w:left="-1701" w:firstLine="0"/>
        <w:jc w:val="center"/>
        <w:rPr/>
      </w:pPr>
      <w:r w:rsidDel="00000000" w:rsidR="00000000" w:rsidRPr="00000000">
        <w:rPr>
          <w:rtl w:val="0"/>
        </w:rPr>
      </w:r>
    </w:p>
    <w:p w:rsidR="00000000" w:rsidDel="00000000" w:rsidP="00000000" w:rsidRDefault="00000000" w:rsidRPr="00000000" w14:paraId="00000006">
      <w:pPr>
        <w:spacing w:line="312" w:lineRule="auto"/>
        <w:ind w:left="-1701" w:firstLine="0"/>
        <w:jc w:val="center"/>
        <w:rPr/>
      </w:pPr>
      <w:r w:rsidDel="00000000" w:rsidR="00000000" w:rsidRPr="00000000">
        <w:rPr>
          <w:rtl w:val="0"/>
        </w:rPr>
      </w:r>
    </w:p>
    <w:p w:rsidR="00000000" w:rsidDel="00000000" w:rsidP="00000000" w:rsidRDefault="00000000" w:rsidRPr="00000000" w14:paraId="00000007">
      <w:pPr>
        <w:spacing w:line="312" w:lineRule="auto"/>
        <w:ind w:left="-1701" w:firstLine="0"/>
        <w:jc w:val="center"/>
        <w:rPr>
          <w:b w:val="1"/>
          <w:sz w:val="28"/>
          <w:szCs w:val="28"/>
        </w:rPr>
      </w:pPr>
      <w:r w:rsidDel="00000000" w:rsidR="00000000" w:rsidRPr="00000000">
        <w:rPr>
          <w:rtl w:val="0"/>
        </w:rPr>
      </w:r>
    </w:p>
    <w:p w:rsidR="00000000" w:rsidDel="00000000" w:rsidP="00000000" w:rsidRDefault="00000000" w:rsidRPr="00000000" w14:paraId="00000008">
      <w:pPr>
        <w:shd w:fill="ffffff" w:val="clear"/>
        <w:spacing w:line="360" w:lineRule="auto"/>
        <w:jc w:val="center"/>
        <w:rPr>
          <w:b w:val="1"/>
          <w:sz w:val="28"/>
          <w:szCs w:val="28"/>
        </w:rPr>
      </w:pPr>
      <w:r w:rsidDel="00000000" w:rsidR="00000000" w:rsidRPr="00000000">
        <w:rPr>
          <w:b w:val="1"/>
          <w:sz w:val="20"/>
          <w:szCs w:val="20"/>
          <w:rtl w:val="0"/>
        </w:rPr>
        <w:t xml:space="preserve">En el marco de la rueda de prensa del 35º Congreso Nacional de la SEAIC, los expertos señalan que</w:t>
      </w:r>
      <w:r w:rsidDel="00000000" w:rsidR="00000000" w:rsidRPr="00000000">
        <w:rPr>
          <w:rtl w:val="0"/>
        </w:rPr>
      </w:r>
    </w:p>
    <w:p w:rsidR="00000000" w:rsidDel="00000000" w:rsidP="00000000" w:rsidRDefault="00000000" w:rsidRPr="00000000" w14:paraId="00000009">
      <w:pPr>
        <w:shd w:fill="ffffff" w:val="clear"/>
        <w:jc w:val="center"/>
        <w:rPr>
          <w:b w:val="1"/>
          <w:sz w:val="28"/>
          <w:szCs w:val="28"/>
        </w:rPr>
      </w:pPr>
      <w:r w:rsidDel="00000000" w:rsidR="00000000" w:rsidRPr="00000000">
        <w:rPr>
          <w:rtl w:val="0"/>
        </w:rPr>
      </w:r>
    </w:p>
    <w:p w:rsidR="00000000" w:rsidDel="00000000" w:rsidP="00000000" w:rsidRDefault="00000000" w:rsidRPr="00000000" w14:paraId="0000000A">
      <w:pPr>
        <w:shd w:fill="ffffff" w:val="clear"/>
        <w:jc w:val="center"/>
        <w:rPr>
          <w:b w:val="1"/>
          <w:sz w:val="28"/>
          <w:szCs w:val="28"/>
        </w:rPr>
      </w:pPr>
      <w:r w:rsidDel="00000000" w:rsidR="00000000" w:rsidRPr="00000000">
        <w:rPr>
          <w:b w:val="1"/>
          <w:sz w:val="28"/>
          <w:szCs w:val="28"/>
          <w:rtl w:val="0"/>
        </w:rPr>
        <w:t xml:space="preserve">LA ALERGOLOGÍA DE PRECISIÓN Y LA INTELIGENCIA ARTIFICIAL ESTÁN TRANSFORMANDO EL ABORDAJE DE LAS ALERGIAS</w:t>
      </w:r>
    </w:p>
    <w:p w:rsidR="00000000" w:rsidDel="00000000" w:rsidP="00000000" w:rsidRDefault="00000000" w:rsidRPr="00000000" w14:paraId="0000000B">
      <w:pPr>
        <w:spacing w:line="360" w:lineRule="auto"/>
        <w:ind w:right="567"/>
        <w:jc w:val="both"/>
        <w:rPr>
          <w:b w:val="1"/>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right="567" w:hanging="360"/>
        <w:jc w:val="both"/>
        <w:rPr>
          <w:b w:val="1"/>
        </w:rPr>
      </w:pPr>
      <w:r w:rsidDel="00000000" w:rsidR="00000000" w:rsidRPr="00000000">
        <w:rPr>
          <w:b w:val="1"/>
          <w:rtl w:val="0"/>
        </w:rPr>
        <w:t xml:space="preserve">El XVII Congreso de Enfermería Alergológica, celebrado en el marco del congreso, subraya la creciente implicación de las enfermeras en el tratamiento de las alergias.</w:t>
      </w:r>
    </w:p>
    <w:p w:rsidR="00000000" w:rsidDel="00000000" w:rsidP="00000000" w:rsidRDefault="00000000" w:rsidRPr="00000000" w14:paraId="0000000D">
      <w:pPr>
        <w:spacing w:line="360" w:lineRule="auto"/>
        <w:ind w:left="720" w:right="567" w:firstLine="0"/>
        <w:jc w:val="both"/>
        <w:rPr>
          <w:b w:val="1"/>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right="567" w:hanging="360"/>
        <w:jc w:val="both"/>
        <w:rPr>
          <w:b w:val="1"/>
        </w:rPr>
      </w:pPr>
      <w:r w:rsidDel="00000000" w:rsidR="00000000" w:rsidRPr="00000000">
        <w:rPr>
          <w:b w:val="1"/>
          <w:rtl w:val="0"/>
        </w:rPr>
        <w:t xml:space="preserve">La Unidad de Oncoalergia de Granada, ejemplo de colaboración multidisciplinaria, ha permitido que el 100 % de los pacientes con reacciones adversas continúe con su tratamiento.</w:t>
      </w:r>
    </w:p>
    <w:p w:rsidR="00000000" w:rsidDel="00000000" w:rsidP="00000000" w:rsidRDefault="00000000" w:rsidRPr="00000000" w14:paraId="0000000F">
      <w:pPr>
        <w:spacing w:line="360" w:lineRule="auto"/>
        <w:ind w:left="720" w:right="567" w:firstLine="0"/>
        <w:jc w:val="both"/>
        <w:rPr>
          <w:b w:val="1"/>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right="567" w:hanging="360"/>
        <w:jc w:val="both"/>
        <w:rPr>
          <w:b w:val="1"/>
        </w:rPr>
      </w:pPr>
      <w:r w:rsidDel="00000000" w:rsidR="00000000" w:rsidRPr="00000000">
        <w:rPr>
          <w:b w:val="1"/>
          <w:rtl w:val="0"/>
        </w:rPr>
        <w:t xml:space="preserve">Chiesi España y la SEAIC impulsan una acción medioambiental plantando un árbol por cada asistente al congreso, contribuyendo a la reforestación de Galicia y al combate del cambio climático.</w:t>
      </w:r>
    </w:p>
    <w:p w:rsidR="00000000" w:rsidDel="00000000" w:rsidP="00000000" w:rsidRDefault="00000000" w:rsidRPr="00000000" w14:paraId="00000011">
      <w:pPr>
        <w:spacing w:line="360" w:lineRule="auto"/>
        <w:rPr>
          <w:b w:val="1"/>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b w:val="1"/>
          <w:rtl w:val="0"/>
        </w:rPr>
        <w:t xml:space="preserve">Granada, 1 de octubre de 2025.-</w:t>
      </w:r>
      <w:r w:rsidDel="00000000" w:rsidR="00000000" w:rsidRPr="00000000">
        <w:rPr>
          <w:i w:val="1"/>
          <w:rtl w:val="0"/>
        </w:rPr>
        <w:t xml:space="preserve">. </w:t>
      </w:r>
      <w:r w:rsidDel="00000000" w:rsidR="00000000" w:rsidRPr="00000000">
        <w:rPr>
          <w:rtl w:val="0"/>
        </w:rPr>
        <w:t xml:space="preserve">El aumento de las enfermedades alérgicas representa uno de los mayores desafíos en salud pública. En respuesta a este reto, la alergología de precisión, impulsada por la inteligencia artificial (IA), emerge como una solución clave para mejorar el diagnóstico y tratamiento de estas patologías. Esta revolución tecnológica no solo está mejorando la calidad de vida de los pacientes, sino que está redefiniendo la manera en que los profesionales abordan las alergias. En este contexto, el </w:t>
      </w:r>
      <w:r w:rsidDel="00000000" w:rsidR="00000000" w:rsidRPr="00000000">
        <w:rPr>
          <w:b w:val="1"/>
          <w:rtl w:val="0"/>
        </w:rPr>
        <w:t xml:space="preserve">35º Congreso Nacional de la Sociedad Española de Alergología e Inmunología Clínica </w:t>
      </w:r>
      <w:r w:rsidDel="00000000" w:rsidR="00000000" w:rsidRPr="00000000">
        <w:rPr>
          <w:rtl w:val="0"/>
        </w:rPr>
        <w:t xml:space="preserve">(SEAIC) reunirá a más de 1.500 profesionales para analizar cómo estos avances están transformando la práctica clínica, permitiendo personalizar los tratamientos y adaptarlos a las necesidades de cada paciente.</w:t>
      </w:r>
    </w:p>
    <w:p w:rsidR="00000000" w:rsidDel="00000000" w:rsidP="00000000" w:rsidRDefault="00000000" w:rsidRPr="00000000" w14:paraId="00000013">
      <w:pPr>
        <w:spacing w:line="360" w:lineRule="auto"/>
        <w:jc w:val="both"/>
        <w:rPr>
          <w:i w:val="1"/>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i w:val="1"/>
          <w:rtl w:val="0"/>
        </w:rPr>
        <w:t xml:space="preserve">“La precisión en el diagnóstico y los tratamientos personalizados están revolucionando la manera en que tratamos las enfermedades alérgicas. Ya no aplicamos una única solución para todos los pacientes; ahora podemos predecir reacciones adversas y adaptar los tratamientos a las características individuales de cada persona”</w:t>
      </w:r>
      <w:r w:rsidDel="00000000" w:rsidR="00000000" w:rsidRPr="00000000">
        <w:rPr>
          <w:rtl w:val="0"/>
        </w:rPr>
        <w:t xml:space="preserve">, explica el </w:t>
      </w:r>
      <w:r w:rsidDel="00000000" w:rsidR="00000000" w:rsidRPr="00000000">
        <w:rPr>
          <w:b w:val="1"/>
          <w:rtl w:val="0"/>
        </w:rPr>
        <w:t xml:space="preserve">Prof. Ignacio Jesús Dávila</w:t>
      </w:r>
      <w:r w:rsidDel="00000000" w:rsidR="00000000" w:rsidRPr="00000000">
        <w:rPr>
          <w:rtl w:val="0"/>
        </w:rPr>
        <w:t xml:space="preserve">, presidente de la SEAIC. La alergología de precisión, que integra biomarcadores, diagnóstico molecular e inmunoterapia, está permitiendo identificar alérgenos de manera más precisa y ofrecer soluciones terapéuticas más eficaces.</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i w:val="1"/>
        </w:rPr>
      </w:pPr>
      <w:r w:rsidDel="00000000" w:rsidR="00000000" w:rsidRPr="00000000">
        <w:rPr>
          <w:rtl w:val="0"/>
        </w:rPr>
        <w:t xml:space="preserve">Sin embargo, estos avances no serían posibles sin la investigación continua. Tal y como ha destacado la </w:t>
      </w:r>
      <w:r w:rsidDel="00000000" w:rsidR="00000000" w:rsidRPr="00000000">
        <w:rPr>
          <w:b w:val="1"/>
          <w:rtl w:val="0"/>
        </w:rPr>
        <w:t xml:space="preserve">Dra. Rosa Miriam Blanco</w:t>
      </w:r>
      <w:r w:rsidDel="00000000" w:rsidR="00000000" w:rsidRPr="00000000">
        <w:rPr>
          <w:rtl w:val="0"/>
        </w:rPr>
        <w:t xml:space="preserve">, coordinadora científica del Congreso, </w:t>
      </w:r>
      <w:r w:rsidDel="00000000" w:rsidR="00000000" w:rsidRPr="00000000">
        <w:rPr>
          <w:i w:val="1"/>
          <w:rtl w:val="0"/>
        </w:rPr>
        <w:t xml:space="preserve">“España se ha consolidado como un líder en alergología, con grupos científicos a la vanguardia de investigaciones internacionales. La colaboración en proyectos europeos está llevando nuestras innovaciones más allá de nuestras fronteras, mejorando el diagnóstico y tratamiento de enfermedades alérgicas a nivel global”. </w:t>
      </w:r>
    </w:p>
    <w:p w:rsidR="00000000" w:rsidDel="00000000" w:rsidP="00000000" w:rsidRDefault="00000000" w:rsidRPr="00000000" w14:paraId="00000017">
      <w:pPr>
        <w:spacing w:after="240" w:before="240" w:line="360" w:lineRule="auto"/>
        <w:jc w:val="both"/>
        <w:rPr>
          <w:i w:val="1"/>
        </w:rPr>
      </w:pPr>
      <w:r w:rsidDel="00000000" w:rsidR="00000000" w:rsidRPr="00000000">
        <w:rPr>
          <w:b w:val="1"/>
          <w:rtl w:val="0"/>
        </w:rPr>
        <w:t xml:space="preserve">El trabajo multidisciplinar: clave en el tratamiento de las alergias</w:t>
      </w: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rtl w:val="0"/>
        </w:rPr>
        <w:t xml:space="preserve">A medida que los avances en alergología de precisión transforman los tratamientos, el trabajo multidisciplinar entre profesionales se vuelve cada vez más esencial. </w:t>
      </w:r>
      <w:r w:rsidDel="00000000" w:rsidR="00000000" w:rsidRPr="00000000">
        <w:rPr>
          <w:b w:val="1"/>
          <w:rtl w:val="0"/>
        </w:rPr>
        <w:t xml:space="preserve">Dña. Dolores López</w:t>
      </w:r>
      <w:r w:rsidDel="00000000" w:rsidR="00000000" w:rsidRPr="00000000">
        <w:rPr>
          <w:rtl w:val="0"/>
        </w:rPr>
        <w:t xml:space="preserve">, graduada en Enfermería y miembro del Comité de Enfermería en Alergología de la SEAIC, destaca que</w:t>
      </w:r>
      <w:r w:rsidDel="00000000" w:rsidR="00000000" w:rsidRPr="00000000">
        <w:rPr>
          <w:i w:val="1"/>
          <w:rtl w:val="0"/>
        </w:rPr>
        <w:t xml:space="preserve"> “las enfermeras son clave no solo en el diagnóstico y tratamiento, sino también en el seguimiento y la educación del paciente, asegurando que los tratamientos se sigan correctamente”</w:t>
      </w:r>
      <w:r w:rsidDel="00000000" w:rsidR="00000000" w:rsidRPr="00000000">
        <w:rPr>
          <w:rtl w:val="0"/>
        </w:rPr>
        <w:t xml:space="preserve">. Tal es la creciente implicación de la Enfermería en el abordaje de las alergias que, este año, en el marco del Congreso Nacional de la SEAIC, se celebrará también el </w:t>
      </w:r>
      <w:r w:rsidDel="00000000" w:rsidR="00000000" w:rsidRPr="00000000">
        <w:rPr>
          <w:b w:val="1"/>
          <w:rtl w:val="0"/>
        </w:rPr>
        <w:t xml:space="preserve">XVII</w:t>
      </w:r>
      <w:r w:rsidDel="00000000" w:rsidR="00000000" w:rsidRPr="00000000">
        <w:rPr>
          <w:rtl w:val="0"/>
        </w:rPr>
        <w:t xml:space="preserve"> </w:t>
      </w:r>
      <w:r w:rsidDel="00000000" w:rsidR="00000000" w:rsidRPr="00000000">
        <w:rPr>
          <w:b w:val="1"/>
          <w:rtl w:val="0"/>
        </w:rPr>
        <w:t xml:space="preserve">Congreso de Enfermería Alergológica</w:t>
      </w:r>
      <w:r w:rsidDel="00000000" w:rsidR="00000000" w:rsidRPr="00000000">
        <w:rPr>
          <w:rtl w:val="0"/>
        </w:rPr>
        <w:t xml:space="preserve">, subrayando el papel esencial de las enfermeras en la atención integral a los pacientes alérgicos.</w:t>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t xml:space="preserve">Otro claro ejemplo de este enfoque colaborativo es la Unidad de Oncoalergia de Granada, que reúne a alergólogos, oncólogos, y personal de UCI, Farmacia y Enfermería de los Hospitales San Cecilio y Virgen de las Nieves. Esta sinergia ha permitido que el 100 % de los pacientes que experimentaron reacciones adversas a sus tratamientos puedan volver a recibirlos. Según </w:t>
      </w:r>
      <w:r w:rsidDel="00000000" w:rsidR="00000000" w:rsidRPr="00000000">
        <w:rPr>
          <w:b w:val="1"/>
          <w:rtl w:val="0"/>
        </w:rPr>
        <w:t xml:space="preserve">Fernando Florido</w:t>
      </w:r>
      <w:r w:rsidDel="00000000" w:rsidR="00000000" w:rsidRPr="00000000">
        <w:rPr>
          <w:rtl w:val="0"/>
        </w:rPr>
        <w:t xml:space="preserve">, coordinador local del Congreso, </w:t>
      </w:r>
      <w:r w:rsidDel="00000000" w:rsidR="00000000" w:rsidRPr="00000000">
        <w:rPr>
          <w:i w:val="1"/>
          <w:rtl w:val="0"/>
        </w:rPr>
        <w:t xml:space="preserve">“lo que estamos logrando en Granada con esta unidad es un ejemplo claro de cómo la colaboración multidisciplinaria puede transformar la vida de los pacientes”</w:t>
      </w:r>
      <w:r w:rsidDel="00000000" w:rsidR="00000000" w:rsidRPr="00000000">
        <w:rPr>
          <w:rtl w:val="0"/>
        </w:rPr>
        <w:t xml:space="preserve">.</w:t>
      </w:r>
    </w:p>
    <w:p w:rsidR="00000000" w:rsidDel="00000000" w:rsidP="00000000" w:rsidRDefault="00000000" w:rsidRPr="00000000" w14:paraId="0000001B">
      <w:pPr>
        <w:spacing w:line="360" w:lineRule="auto"/>
        <w:jc w:val="both"/>
        <w:rPr>
          <w:b w:val="1"/>
        </w:rPr>
      </w:pPr>
      <w:r w:rsidDel="00000000" w:rsidR="00000000" w:rsidRPr="00000000">
        <w:rPr>
          <w:rtl w:val="0"/>
        </w:rPr>
      </w:r>
    </w:p>
    <w:p w:rsidR="00000000" w:rsidDel="00000000" w:rsidP="00000000" w:rsidRDefault="00000000" w:rsidRPr="00000000" w14:paraId="0000001C">
      <w:pPr>
        <w:spacing w:line="360" w:lineRule="auto"/>
        <w:jc w:val="both"/>
        <w:rPr>
          <w:b w:val="1"/>
        </w:rPr>
      </w:pPr>
      <w:r w:rsidDel="00000000" w:rsidR="00000000" w:rsidRPr="00000000">
        <w:rPr>
          <w:b w:val="1"/>
          <w:rtl w:val="0"/>
        </w:rPr>
        <w:t xml:space="preserve">Una iniciativa para combatir el cambio climático y la alergia</w:t>
      </w:r>
    </w:p>
    <w:p w:rsidR="00000000" w:rsidDel="00000000" w:rsidP="00000000" w:rsidRDefault="00000000" w:rsidRPr="00000000" w14:paraId="0000001D">
      <w:pPr>
        <w:spacing w:line="360" w:lineRule="auto"/>
        <w:jc w:val="both"/>
        <w:rPr>
          <w:b w:val="1"/>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Por tercer año consecutivo, la SEAIC, junto Chiesi España, impulsa una iniciativa de reforestación en la provincia de Pontevedra, que consiste en plantar un árbol por cada asistente al Congreso. Este año se alcanzará la cifra de 1.500 ejemplares y, desde el inicio del proyecto en 2023, ya se han sumado 5.515 árboles. </w:t>
      </w:r>
      <w:r w:rsidDel="00000000" w:rsidR="00000000" w:rsidRPr="00000000">
        <w:rPr>
          <w:i w:val="1"/>
          <w:rtl w:val="0"/>
        </w:rPr>
        <w:t xml:space="preserve">“Este proyecto tiene un doble objetivo: restaurar los ecosistemas dañados por el cambio climático y mejorar la calidad del aire, lo que no solo ayuda al medio ambiente, sino también a mitigar los efectos del cambio climático y la pérdida de biodiversidad sobre la salud respiratoria de los pacientes”</w:t>
      </w:r>
      <w:r w:rsidDel="00000000" w:rsidR="00000000" w:rsidRPr="00000000">
        <w:rPr>
          <w:rtl w:val="0"/>
        </w:rPr>
        <w:t xml:space="preserve">, señala el </w:t>
      </w:r>
      <w:r w:rsidDel="00000000" w:rsidR="00000000" w:rsidRPr="00000000">
        <w:rPr>
          <w:b w:val="1"/>
          <w:rtl w:val="0"/>
        </w:rPr>
        <w:t xml:space="preserve">Dr. Javier Montoro</w:t>
      </w:r>
      <w:r w:rsidDel="00000000" w:rsidR="00000000" w:rsidRPr="00000000">
        <w:rPr>
          <w:rtl w:val="0"/>
        </w:rPr>
        <w:t xml:space="preserve">, coordinador del Grupo de Trabajo de Alergia, Medio Ambiente, Contaminación y Cambio Climático de la SEAIC. La iniciativa, además, incorpora un enfoque social alineado con los Objetivos de Desarrollo Sostenible (ODS) de Naciones Unidas, ya que la ejecución de la plantación contará con la participación de personas en situación de vulnerabilidad, que se beneficiarán de oportunidades de empleo local.</w:t>
      </w:r>
    </w:p>
    <w:p w:rsidR="00000000" w:rsidDel="00000000" w:rsidP="00000000" w:rsidRDefault="00000000" w:rsidRPr="00000000" w14:paraId="0000001F">
      <w:pPr>
        <w:spacing w:line="360" w:lineRule="auto"/>
        <w:jc w:val="both"/>
        <w:rPr>
          <w:highlight w:val="yellow"/>
        </w:rPr>
      </w:pPr>
      <w:r w:rsidDel="00000000" w:rsidR="00000000" w:rsidRPr="00000000">
        <w:rPr>
          <w:rtl w:val="0"/>
        </w:rPr>
      </w:r>
    </w:p>
    <w:p w:rsidR="00000000" w:rsidDel="00000000" w:rsidP="00000000" w:rsidRDefault="00000000" w:rsidRPr="00000000" w14:paraId="00000020">
      <w:pPr>
        <w:shd w:fill="ffffff" w:val="clear"/>
        <w:spacing w:line="276" w:lineRule="auto"/>
        <w:jc w:val="both"/>
        <w:rPr>
          <w:b w:val="1"/>
          <w:highlight w:val="white"/>
        </w:rPr>
      </w:pPr>
      <w:r w:rsidDel="00000000" w:rsidR="00000000" w:rsidRPr="00000000">
        <w:rPr>
          <w:rtl w:val="0"/>
        </w:rPr>
      </w:r>
    </w:p>
    <w:p w:rsidR="00000000" w:rsidDel="00000000" w:rsidP="00000000" w:rsidRDefault="00000000" w:rsidRPr="00000000" w14:paraId="00000021">
      <w:pPr>
        <w:spacing w:line="312" w:lineRule="auto"/>
        <w:ind w:hanging="2"/>
        <w:jc w:val="center"/>
        <w:rPr>
          <w:b w:val="1"/>
        </w:rPr>
      </w:pPr>
      <w:r w:rsidDel="00000000" w:rsidR="00000000" w:rsidRPr="00000000">
        <w:rPr>
          <w:b w:val="1"/>
          <w:rtl w:val="0"/>
        </w:rPr>
        <w:t xml:space="preserve">* Para más información: </w:t>
      </w:r>
    </w:p>
    <w:p w:rsidR="00000000" w:rsidDel="00000000" w:rsidP="00000000" w:rsidRDefault="00000000" w:rsidRPr="00000000" w14:paraId="00000022">
      <w:pPr>
        <w:spacing w:line="312" w:lineRule="auto"/>
        <w:ind w:hanging="2"/>
        <w:jc w:val="center"/>
        <w:rPr>
          <w:b w:val="1"/>
        </w:rPr>
      </w:pPr>
      <w:r w:rsidDel="00000000" w:rsidR="00000000" w:rsidRPr="00000000">
        <w:rPr>
          <w:b w:val="1"/>
          <w:rtl w:val="0"/>
        </w:rPr>
        <w:t xml:space="preserve">Gabinete de prensa SEAIC.</w:t>
      </w:r>
    </w:p>
    <w:p w:rsidR="00000000" w:rsidDel="00000000" w:rsidP="00000000" w:rsidRDefault="00000000" w:rsidRPr="00000000" w14:paraId="00000023">
      <w:pPr>
        <w:spacing w:line="312" w:lineRule="auto"/>
        <w:ind w:hanging="2"/>
        <w:jc w:val="center"/>
        <w:rPr>
          <w:b w:val="1"/>
        </w:rPr>
      </w:pPr>
      <w:r w:rsidDel="00000000" w:rsidR="00000000" w:rsidRPr="00000000">
        <w:rPr>
          <w:rtl w:val="0"/>
        </w:rPr>
      </w:r>
    </w:p>
    <w:p w:rsidR="00000000" w:rsidDel="00000000" w:rsidP="00000000" w:rsidRDefault="00000000" w:rsidRPr="00000000" w14:paraId="00000024">
      <w:pPr>
        <w:spacing w:line="312" w:lineRule="auto"/>
        <w:ind w:hanging="2"/>
        <w:jc w:val="center"/>
        <w:rPr>
          <w:b w:val="1"/>
        </w:rPr>
      </w:pPr>
      <w:r w:rsidDel="00000000" w:rsidR="00000000" w:rsidRPr="00000000">
        <w:rPr>
          <w:b w:val="1"/>
          <w:rtl w:val="0"/>
        </w:rPr>
        <w:t xml:space="preserve">ALABRA</w:t>
      </w:r>
    </w:p>
    <w:p w:rsidR="00000000" w:rsidDel="00000000" w:rsidP="00000000" w:rsidRDefault="00000000" w:rsidRPr="00000000" w14:paraId="00000025">
      <w:pPr>
        <w:spacing w:line="312" w:lineRule="auto"/>
        <w:ind w:hanging="2"/>
        <w:jc w:val="center"/>
        <w:rPr>
          <w:b w:val="1"/>
        </w:rPr>
      </w:pPr>
      <w:r w:rsidDel="00000000" w:rsidR="00000000" w:rsidRPr="00000000">
        <w:rPr>
          <w:b w:val="1"/>
          <w:rtl w:val="0"/>
        </w:rPr>
        <w:t xml:space="preserve">Helena Pastor (</w:t>
      </w:r>
      <w:hyperlink r:id="rId7">
        <w:r w:rsidDel="00000000" w:rsidR="00000000" w:rsidRPr="00000000">
          <w:rPr>
            <w:b w:val="1"/>
            <w:color w:val="1155cc"/>
            <w:u w:val="single"/>
            <w:rtl w:val="0"/>
          </w:rPr>
          <w:t xml:space="preserve">helena.pastor@alabra.es</w:t>
        </w:r>
      </w:hyperlink>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647 24 16 15</w:t>
      </w:r>
    </w:p>
    <w:p w:rsidR="00000000" w:rsidDel="00000000" w:rsidP="00000000" w:rsidRDefault="00000000" w:rsidRPr="00000000" w14:paraId="00000026">
      <w:pPr>
        <w:spacing w:line="312" w:lineRule="auto"/>
        <w:ind w:hanging="2"/>
        <w:jc w:val="center"/>
        <w:rPr>
          <w:b w:val="1"/>
        </w:rPr>
      </w:pPr>
      <w:r w:rsidDel="00000000" w:rsidR="00000000" w:rsidRPr="00000000">
        <w:rPr>
          <w:b w:val="1"/>
          <w:rtl w:val="0"/>
        </w:rPr>
        <w:t xml:space="preserve">Carolina López (</w:t>
      </w:r>
      <w:hyperlink r:id="rId8">
        <w:r w:rsidDel="00000000" w:rsidR="00000000" w:rsidRPr="00000000">
          <w:rPr>
            <w:b w:val="1"/>
            <w:color w:val="1155cc"/>
            <w:u w:val="single"/>
            <w:rtl w:val="0"/>
          </w:rPr>
          <w:t xml:space="preserve">carolina.lopez@alabra.es</w:t>
        </w:r>
      </w:hyperlink>
      <w:r w:rsidDel="00000000" w:rsidR="00000000" w:rsidRPr="00000000">
        <w:rPr>
          <w:b w:val="1"/>
          <w:rtl w:val="0"/>
        </w:rPr>
        <w:t xml:space="preserve">) 674 09 60 78</w:t>
      </w:r>
    </w:p>
    <w:p w:rsidR="00000000" w:rsidDel="00000000" w:rsidP="00000000" w:rsidRDefault="00000000" w:rsidRPr="00000000" w14:paraId="00000027">
      <w:pPr>
        <w:shd w:fill="ffffff" w:val="clear"/>
        <w:spacing w:after="225" w:line="276" w:lineRule="auto"/>
        <w:jc w:val="both"/>
        <w:rPr>
          <w:b w:val="1"/>
          <w:highlight w:val="white"/>
        </w:rPr>
      </w:pPr>
      <w:r w:rsidDel="00000000" w:rsidR="00000000" w:rsidRPr="00000000">
        <w:rPr>
          <w:rtl w:val="0"/>
        </w:rPr>
      </w:r>
    </w:p>
    <w:p w:rsidR="00000000" w:rsidDel="00000000" w:rsidP="00000000" w:rsidRDefault="00000000" w:rsidRPr="00000000" w14:paraId="00000028">
      <w:pPr>
        <w:spacing w:line="312" w:lineRule="auto"/>
        <w:jc w:val="both"/>
        <w:rPr>
          <w:b w:val="1"/>
          <w:color w:val="486db9"/>
          <w:sz w:val="26"/>
          <w:szCs w:val="26"/>
        </w:rPr>
      </w:pPr>
      <w:r w:rsidDel="00000000" w:rsidR="00000000" w:rsidRPr="00000000">
        <w:rPr>
          <w:rtl w:val="0"/>
        </w:rPr>
      </w:r>
    </w:p>
    <w:sectPr>
      <w:headerReference r:id="rId9" w:type="first"/>
      <w:footerReference r:id="rId10" w:type="first"/>
      <w:pgSz w:h="16838" w:w="11906" w:orient="portrait"/>
      <w:pgMar w:bottom="993" w:top="284" w:left="1701" w:right="14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-1085846</wp:posOffset>
          </wp:positionH>
          <wp:positionV relativeFrom="paragraph">
            <wp:posOffset>-460797</wp:posOffset>
          </wp:positionV>
          <wp:extent cx="7573328" cy="1899794"/>
          <wp:effectExtent b="0" l="0" r="0" t="0"/>
          <wp:wrapNone/>
          <wp:docPr id="12563789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3328" cy="18997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line="312" w:lineRule="auto"/>
      <w:jc w:val="both"/>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ipervnculo">
    <w:name w:val="Hyperlink"/>
    <w:rsid w:val="00BB463B"/>
    <w:rPr>
      <w:color w:val="0000ff"/>
      <w:u w:val="single"/>
    </w:rPr>
  </w:style>
  <w:style w:type="paragraph" w:styleId="Textoindependiente">
    <w:name w:val="Body Text"/>
    <w:basedOn w:val="Normal"/>
    <w:rsid w:val="0077496A"/>
    <w:pPr>
      <w:spacing w:line="312" w:lineRule="auto"/>
      <w:jc w:val="both"/>
    </w:pPr>
    <w:rPr>
      <w:rFonts w:cs="Times New Roman"/>
      <w:szCs w:val="20"/>
    </w:rPr>
  </w:style>
  <w:style w:type="paragraph" w:styleId="Textosinformato">
    <w:name w:val="Plain Text"/>
    <w:basedOn w:val="Normal"/>
    <w:rsid w:val="003F228F"/>
    <w:rPr>
      <w:rFonts w:ascii="Courier New" w:cs="Courier New" w:hAnsi="Courier New"/>
      <w:sz w:val="20"/>
      <w:szCs w:val="20"/>
    </w:rPr>
  </w:style>
  <w:style w:type="paragraph" w:styleId="Mapadeldocumento">
    <w:name w:val="Document Map"/>
    <w:basedOn w:val="Normal"/>
    <w:semiHidden w:val="1"/>
    <w:rsid w:val="00A07B82"/>
    <w:pPr>
      <w:shd w:color="auto" w:fill="000080" w:val="clear"/>
    </w:pPr>
    <w:rPr>
      <w:rFonts w:ascii="Tahoma" w:cs="Tahoma" w:hAnsi="Tahoma"/>
      <w:sz w:val="20"/>
      <w:szCs w:val="20"/>
    </w:rPr>
  </w:style>
  <w:style w:type="paragraph" w:styleId="NormalWeb">
    <w:name w:val="Normal (Web)"/>
    <w:basedOn w:val="Normal"/>
    <w:rsid w:val="00D943A6"/>
    <w:pPr>
      <w:spacing w:after="100" w:afterAutospacing="1" w:before="100" w:beforeAutospacing="1"/>
    </w:pPr>
    <w:rPr>
      <w:rFonts w:ascii="Times New Roman" w:cs="Times New Roman" w:hAnsi="Times New Roman"/>
      <w:sz w:val="24"/>
      <w:szCs w:val="24"/>
    </w:rPr>
  </w:style>
  <w:style w:type="character" w:styleId="editornegrita" w:customStyle="1">
    <w:name w:val="editornegrita"/>
    <w:basedOn w:val="Fuentedeprrafopredeter"/>
    <w:rsid w:val="001079B5"/>
  </w:style>
  <w:style w:type="character" w:styleId="nfasis">
    <w:name w:val="Emphasis"/>
    <w:qFormat w:val="1"/>
    <w:rsid w:val="00C50776"/>
    <w:rPr>
      <w:b w:val="1"/>
      <w:bCs w:val="1"/>
      <w:i w:val="0"/>
      <w:iCs w:val="0"/>
    </w:rPr>
  </w:style>
  <w:style w:type="paragraph" w:styleId="Listavistosa-nfasis11" w:customStyle="1">
    <w:name w:val="Lista vistosa - Énfasis 11"/>
    <w:basedOn w:val="Normal"/>
    <w:qFormat w:val="1"/>
    <w:rsid w:val="00135DB9"/>
    <w:pPr>
      <w:ind w:left="720"/>
    </w:pPr>
    <w:rPr>
      <w:rFonts w:ascii="Cambria" w:cs="Times New Roman" w:eastAsia="Cambria" w:hAnsi="Cambria"/>
      <w:sz w:val="24"/>
      <w:szCs w:val="24"/>
      <w:lang w:eastAsia="en-US" w:val="es-ES_tradnl"/>
    </w:rPr>
  </w:style>
  <w:style w:type="paragraph" w:styleId="HTMLconformatoprevio">
    <w:name w:val="HTML Preformatted"/>
    <w:basedOn w:val="Normal"/>
    <w:link w:val="HTMLconformatoprevioCar"/>
    <w:rsid w:val="00BA7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MS Mincho" w:hAnsi="Courier New"/>
      <w:sz w:val="20"/>
      <w:szCs w:val="20"/>
      <w:lang w:eastAsia="ja-JP"/>
    </w:rPr>
  </w:style>
  <w:style w:type="character" w:styleId="HTMLconformatoprevioCar" w:customStyle="1">
    <w:name w:val="HTML con formato previo Car"/>
    <w:link w:val="HTMLconformatoprevio"/>
    <w:rsid w:val="00BA725A"/>
    <w:rPr>
      <w:rFonts w:ascii="Courier New" w:cs="Courier New" w:eastAsia="MS Mincho" w:hAnsi="Courier New"/>
      <w:lang w:eastAsia="ja-JP"/>
    </w:rPr>
  </w:style>
  <w:style w:type="character" w:styleId="Textoennegrita">
    <w:name w:val="Strong"/>
    <w:uiPriority w:val="22"/>
    <w:qFormat w:val="1"/>
    <w:rsid w:val="00855627"/>
    <w:rPr>
      <w:b w:val="1"/>
      <w:bCs w:val="1"/>
    </w:rPr>
  </w:style>
  <w:style w:type="paragraph" w:styleId="Textodeglobo">
    <w:name w:val="Balloon Text"/>
    <w:basedOn w:val="Normal"/>
    <w:link w:val="TextodegloboCar"/>
    <w:rsid w:val="00DC2F71"/>
    <w:rPr>
      <w:rFonts w:ascii="Tahoma" w:cs="Tahoma" w:hAnsi="Tahoma"/>
      <w:sz w:val="16"/>
      <w:szCs w:val="16"/>
    </w:rPr>
  </w:style>
  <w:style w:type="character" w:styleId="TextodegloboCar" w:customStyle="1">
    <w:name w:val="Texto de globo Car"/>
    <w:link w:val="Textodeglobo"/>
    <w:rsid w:val="00DC2F71"/>
    <w:rPr>
      <w:rFonts w:ascii="Tahoma" w:cs="Tahoma" w:hAnsi="Tahoma"/>
      <w:sz w:val="16"/>
      <w:szCs w:val="16"/>
    </w:rPr>
  </w:style>
  <w:style w:type="character" w:styleId="Refdecomentario">
    <w:name w:val="annotation reference"/>
    <w:basedOn w:val="Fuentedeprrafopredeter"/>
    <w:rsid w:val="00344046"/>
    <w:rPr>
      <w:sz w:val="16"/>
      <w:szCs w:val="16"/>
    </w:rPr>
  </w:style>
  <w:style w:type="paragraph" w:styleId="Textocomentario">
    <w:name w:val="annotation text"/>
    <w:basedOn w:val="Normal"/>
    <w:link w:val="TextocomentarioCar"/>
    <w:rsid w:val="00344046"/>
    <w:rPr>
      <w:sz w:val="20"/>
      <w:szCs w:val="20"/>
    </w:rPr>
  </w:style>
  <w:style w:type="character" w:styleId="TextocomentarioCar" w:customStyle="1">
    <w:name w:val="Texto comentario Car"/>
    <w:basedOn w:val="Fuentedeprrafopredeter"/>
    <w:link w:val="Textocomentario"/>
    <w:rsid w:val="00344046"/>
    <w:rPr>
      <w:rFonts w:ascii="Arial" w:cs="Arial" w:hAnsi="Arial"/>
      <w:lang w:eastAsia="es-ES"/>
    </w:rPr>
  </w:style>
  <w:style w:type="paragraph" w:styleId="Asuntodelcomentario">
    <w:name w:val="annotation subject"/>
    <w:basedOn w:val="Textocomentario"/>
    <w:next w:val="Textocomentario"/>
    <w:link w:val="AsuntodelcomentarioCar"/>
    <w:rsid w:val="00344046"/>
    <w:rPr>
      <w:b w:val="1"/>
      <w:bCs w:val="1"/>
    </w:rPr>
  </w:style>
  <w:style w:type="character" w:styleId="AsuntodelcomentarioCar" w:customStyle="1">
    <w:name w:val="Asunto del comentario Car"/>
    <w:basedOn w:val="TextocomentarioCar"/>
    <w:link w:val="Asuntodelcomentario"/>
    <w:rsid w:val="00344046"/>
    <w:rPr>
      <w:rFonts w:ascii="Arial" w:cs="Arial" w:hAnsi="Arial"/>
      <w:b w:val="1"/>
      <w:bCs w:val="1"/>
      <w:lang w:eastAsia="es-ES"/>
    </w:rPr>
  </w:style>
  <w:style w:type="paragraph" w:styleId="Revisin">
    <w:name w:val="Revision"/>
    <w:hidden w:val="1"/>
    <w:uiPriority w:val="99"/>
    <w:semiHidden w:val="1"/>
    <w:rsid w:val="00BF572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lena.pastor@alabra.es" TargetMode="External"/><Relationship Id="rId8" Type="http://schemas.openxmlformats.org/officeDocument/2006/relationships/hyperlink" Target="mailto:carolina.lopez@alabr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zjovAxfWv6X3BEJoJY0aVBgBQ==">CgMxLjA4AHIhMTlSdVBuQm0xZ1pCQnc2WUtrRGRONjUwRldGQkNnLXhK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2025-09-08T13:57:00Z</dcterms:created>
  <dc:creator>PlannerMedia</dc:creator>
</cp:coreProperties>
</file>