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F21042" w:rsidRDefault="006D1547">
      <w:pPr>
        <w:spacing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Semana de Concientización sobre las Alergias Alimentarias 2025</w:t>
      </w:r>
    </w:p>
    <w:p w14:paraId="00000002" w14:textId="77777777" w:rsidR="00F21042" w:rsidRDefault="006D15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pict w14:anchorId="7CCBDB01">
          <v:rect id="_x0000_i1025" style="width:0;height:1.5pt" o:hralign="center" o:hrstd="t" o:hr="t" fillcolor="#a0a0a0" stroked="f"/>
        </w:pict>
      </w:r>
    </w:p>
    <w:p w14:paraId="00000003" w14:textId="77777777" w:rsidR="00F21042" w:rsidRDefault="006D1547" w:rsidP="0048027E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Las alergias alimentarias afectan a millones de personas en todo el mundo y su prevalencia no deja de crecer, especialmente entre la población infantil. Se estima que entre el </w:t>
      </w:r>
      <w:r w:rsidRPr="0048027E">
        <w:rPr>
          <w:rFonts w:ascii="Times New Roman" w:eastAsia="Times New Roman" w:hAnsi="Times New Roman" w:cs="Times New Roman"/>
          <w:sz w:val="24"/>
          <w:szCs w:val="24"/>
        </w:rPr>
        <w:t>6 y el 8% de los niños y hasta el 4%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 los adultos presentan alguna forma de alergia alimentaria. Esta tendencia plantea desafíos urgentes para los sistemas de salud, la industria alimentaria, restauración y la sociedad en su conjunto.</w:t>
      </w:r>
    </w:p>
    <w:p w14:paraId="00000004" w14:textId="77777777" w:rsidR="00F21042" w:rsidRPr="0048027E" w:rsidRDefault="006D1547" w:rsidP="0048027E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En nuestra sociedad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existe un número muy elevado personas que siguen dietas de restricción derivadas de </w:t>
      </w:r>
      <w:r w:rsidRPr="0048027E">
        <w:rPr>
          <w:rFonts w:ascii="Times New Roman" w:eastAsia="Times New Roman" w:hAnsi="Times New Roman" w:cs="Times New Roman"/>
          <w:sz w:val="24"/>
          <w:szCs w:val="24"/>
        </w:rPr>
        <w:t>preferencias individuales, por presentar clínica digestiva exacerbada por la ingesta de algunos alimentos, intolerancia-malabsorción de azúcares o alergia a alimentaria. E</w:t>
      </w:r>
      <w:r w:rsidRPr="0048027E">
        <w:rPr>
          <w:rFonts w:ascii="Times New Roman" w:eastAsia="Times New Roman" w:hAnsi="Times New Roman" w:cs="Times New Roman"/>
          <w:sz w:val="24"/>
          <w:szCs w:val="24"/>
        </w:rPr>
        <w:t xml:space="preserve">sta última, a diferencia de las anteriores, implica una respuesta del sistema inmunológico, incluso a pequeñas cantidades del alimento, que </w:t>
      </w:r>
      <w:r w:rsidRPr="0048027E">
        <w:rPr>
          <w:rFonts w:ascii="Times New Roman" w:eastAsia="Times New Roman" w:hAnsi="Times New Roman" w:cs="Times New Roman"/>
          <w:sz w:val="24"/>
          <w:szCs w:val="24"/>
        </w:rPr>
        <w:t>puede causar una reacción grave (anafilaxia) que puede poner en riesgo la vida</w:t>
      </w:r>
      <w:r w:rsidRPr="0048027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0000005" w14:textId="77777777" w:rsidR="00F21042" w:rsidRPr="0048027E" w:rsidRDefault="006D1547" w:rsidP="0048027E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027E">
        <w:rPr>
          <w:rFonts w:ascii="Times New Roman" w:eastAsia="Times New Roman" w:hAnsi="Times New Roman" w:cs="Times New Roman"/>
          <w:sz w:val="24"/>
          <w:szCs w:val="24"/>
        </w:rPr>
        <w:t>Existe gran confusión en la poblaci</w:t>
      </w:r>
      <w:r w:rsidRPr="0048027E">
        <w:rPr>
          <w:rFonts w:ascii="Times New Roman" w:eastAsia="Times New Roman" w:hAnsi="Times New Roman" w:cs="Times New Roman"/>
          <w:sz w:val="24"/>
          <w:szCs w:val="24"/>
        </w:rPr>
        <w:t xml:space="preserve">ón entre una intolerancia o malestar digestivo leve, y una alergia alimentaria </w:t>
      </w:r>
      <w:proofErr w:type="gramStart"/>
      <w:r w:rsidRPr="0048027E">
        <w:rPr>
          <w:rFonts w:ascii="Times New Roman" w:eastAsia="Times New Roman" w:hAnsi="Times New Roman" w:cs="Times New Roman"/>
          <w:sz w:val="24"/>
          <w:szCs w:val="24"/>
        </w:rPr>
        <w:t>verdadera</w:t>
      </w:r>
      <w:proofErr w:type="gramEnd"/>
      <w:r w:rsidRPr="0048027E">
        <w:rPr>
          <w:rFonts w:ascii="Times New Roman" w:eastAsia="Times New Roman" w:hAnsi="Times New Roman" w:cs="Times New Roman"/>
          <w:sz w:val="24"/>
          <w:szCs w:val="24"/>
        </w:rPr>
        <w:t xml:space="preserve"> así como sus potenciales consecuencias, condicionando cierta problemática social como la minimización del riesgo real o incluso falta de empatía y apoyo al paciente co</w:t>
      </w:r>
      <w:r w:rsidRPr="0048027E">
        <w:rPr>
          <w:rFonts w:ascii="Times New Roman" w:eastAsia="Times New Roman" w:hAnsi="Times New Roman" w:cs="Times New Roman"/>
          <w:sz w:val="24"/>
          <w:szCs w:val="24"/>
        </w:rPr>
        <w:t xml:space="preserve">n alergia a alimentos </w:t>
      </w:r>
    </w:p>
    <w:p w14:paraId="00000006" w14:textId="7CA083FE" w:rsidR="00F21042" w:rsidRDefault="006D1547" w:rsidP="0048027E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027E">
        <w:rPr>
          <w:rFonts w:ascii="Times New Roman" w:eastAsia="Times New Roman" w:hAnsi="Times New Roman" w:cs="Times New Roman"/>
          <w:sz w:val="24"/>
          <w:szCs w:val="24"/>
        </w:rPr>
        <w:t>Por otro lado, las empresas de la industria alimentaria son responsables de garantizar que los consumidores puedan confiar en que un producto es seguro. Esto lo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hacen mediante la prevención de la contaminación cruzada, disponiendo y </w:t>
      </w:r>
      <w:r>
        <w:rPr>
          <w:rFonts w:ascii="Times New Roman" w:eastAsia="Times New Roman" w:hAnsi="Times New Roman" w:cs="Times New Roman"/>
          <w:sz w:val="24"/>
          <w:szCs w:val="24"/>
        </w:rPr>
        <w:t>siguiendo protocolos de higiene, limpieza y separación de líneas de producción,  trazabilidad del producto que permita rastrear cada ingrediente desde su origen hasta el producto final para identificar lotes potencialmente contaminados, disponer de sistema</w:t>
      </w:r>
      <w:r>
        <w:rPr>
          <w:rFonts w:ascii="Times New Roman" w:eastAsia="Times New Roman" w:hAnsi="Times New Roman" w:cs="Times New Roman"/>
          <w:sz w:val="24"/>
          <w:szCs w:val="24"/>
        </w:rPr>
        <w:t>s de gestión de seguridad alimentaria para el control de alérgenos que anal</w:t>
      </w:r>
      <w:r w:rsidR="0048027E">
        <w:rPr>
          <w:rFonts w:ascii="Times New Roman" w:eastAsia="Times New Roman" w:hAnsi="Times New Roman" w:cs="Times New Roman"/>
          <w:sz w:val="24"/>
          <w:szCs w:val="24"/>
        </w:rPr>
        <w:t>ice los potenciales peligros y puntos críticos de c</w:t>
      </w:r>
      <w:r>
        <w:rPr>
          <w:rFonts w:ascii="Times New Roman" w:eastAsia="Times New Roman" w:hAnsi="Times New Roman" w:cs="Times New Roman"/>
          <w:sz w:val="24"/>
          <w:szCs w:val="24"/>
        </w:rPr>
        <w:t>ontrol de contaminación, manteniendo a su personal formado adecuadamente y controlando a sus proveedores.</w:t>
      </w:r>
    </w:p>
    <w:p w14:paraId="00000008" w14:textId="4773F5B4" w:rsidR="00F21042" w:rsidRPr="0048027E" w:rsidRDefault="006D1547" w:rsidP="0048027E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Sin embargo, la comunica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ción con el </w:t>
      </w:r>
      <w:r w:rsidRPr="0048027E">
        <w:rPr>
          <w:rFonts w:ascii="Times New Roman" w:eastAsia="Times New Roman" w:hAnsi="Times New Roman" w:cs="Times New Roman"/>
          <w:sz w:val="24"/>
          <w:szCs w:val="24"/>
        </w:rPr>
        <w:t>consumidor</w:t>
      </w:r>
      <w:r w:rsidRPr="0048027E">
        <w:rPr>
          <w:rFonts w:ascii="Times New Roman" w:eastAsia="Times New Roman" w:hAnsi="Times New Roman" w:cs="Times New Roman"/>
          <w:sz w:val="24"/>
          <w:szCs w:val="24"/>
        </w:rPr>
        <w:t xml:space="preserve"> se basa principalmente en el </w:t>
      </w:r>
      <w:r w:rsidRPr="0048027E">
        <w:rPr>
          <w:rFonts w:ascii="Times New Roman" w:eastAsia="Times New Roman" w:hAnsi="Times New Roman" w:cs="Times New Roman"/>
          <w:sz w:val="24"/>
          <w:szCs w:val="24"/>
        </w:rPr>
        <w:t>etiquetado</w:t>
      </w:r>
      <w:r w:rsidRPr="0048027E">
        <w:rPr>
          <w:rFonts w:ascii="Times New Roman" w:eastAsia="Times New Roman" w:hAnsi="Times New Roman" w:cs="Times New Roman"/>
          <w:sz w:val="24"/>
          <w:szCs w:val="24"/>
        </w:rPr>
        <w:t xml:space="preserve"> del producto, marcando (en negrita) los 14 alérgenos de declaración obligatoria</w:t>
      </w:r>
      <w:r w:rsidRPr="0048027E">
        <w:rPr>
          <w:rFonts w:ascii="Times New Roman" w:eastAsia="Times New Roman" w:hAnsi="Times New Roman" w:cs="Times New Roman"/>
          <w:sz w:val="24"/>
          <w:szCs w:val="24"/>
        </w:rPr>
        <w:t xml:space="preserve">, que en muchas ocasiones no se adapta a las necesidades reales del paciente alérgico. </w:t>
      </w:r>
      <w:r w:rsidRPr="0048027E">
        <w:rPr>
          <w:rFonts w:ascii="Times New Roman" w:eastAsia="Times New Roman" w:hAnsi="Times New Roman" w:cs="Times New Roman"/>
          <w:sz w:val="24"/>
          <w:szCs w:val="24"/>
        </w:rPr>
        <w:t>Además, la realidad es que,</w:t>
      </w:r>
      <w:r w:rsidRPr="0048027E">
        <w:rPr>
          <w:rFonts w:ascii="Times New Roman" w:eastAsia="Times New Roman" w:hAnsi="Times New Roman" w:cs="Times New Roman"/>
          <w:sz w:val="24"/>
          <w:szCs w:val="24"/>
        </w:rPr>
        <w:t xml:space="preserve"> escudados en la dificultad de la determinación de alérgenos en productos alimentario finales y la ausencia de consenso en el término “traza”, en la gran mayoría de casos, no puede evitarse la presencia no intencionada de alérgenos, lo que puede suponer un</w:t>
      </w:r>
      <w:r w:rsidRPr="0048027E">
        <w:rPr>
          <w:rFonts w:ascii="Times New Roman" w:eastAsia="Times New Roman" w:hAnsi="Times New Roman" w:cs="Times New Roman"/>
          <w:sz w:val="24"/>
          <w:szCs w:val="24"/>
        </w:rPr>
        <w:t xml:space="preserve"> riesgo para las personas susceptibles tal y como se concibe actualmente, y así surge el etiquetado precautorio de alérgenos, que lo encontramos en las etiquetas con los términos “puede contener…”</w:t>
      </w:r>
      <w:r w:rsidR="0048027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802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8027E">
        <w:rPr>
          <w:rFonts w:ascii="Times New Roman" w:eastAsia="Times New Roman" w:hAnsi="Times New Roman" w:cs="Times New Roman"/>
          <w:sz w:val="24"/>
          <w:szCs w:val="24"/>
        </w:rPr>
        <w:t>Cada vez conocemos más sobre</w:t>
      </w:r>
      <w:r w:rsidRPr="004802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8027E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48027E">
        <w:rPr>
          <w:rFonts w:ascii="Times New Roman" w:eastAsia="Times New Roman" w:hAnsi="Times New Roman" w:cs="Times New Roman"/>
          <w:sz w:val="24"/>
          <w:szCs w:val="24"/>
        </w:rPr>
        <w:t>os umbrales reactivos (dosis de alimentos que producen síntomas)</w:t>
      </w:r>
      <w:r w:rsidR="0048027E">
        <w:rPr>
          <w:rFonts w:ascii="Times New Roman" w:eastAsia="Times New Roman" w:hAnsi="Times New Roman" w:cs="Times New Roman"/>
          <w:sz w:val="24"/>
          <w:szCs w:val="24"/>
        </w:rPr>
        <w:t>, aunque los estudios están realizados en poblaciones concretas, no españolas</w:t>
      </w:r>
      <w:r w:rsidRPr="0048027E">
        <w:rPr>
          <w:rFonts w:ascii="Times New Roman" w:eastAsia="Times New Roman" w:hAnsi="Times New Roman" w:cs="Times New Roman"/>
          <w:sz w:val="24"/>
          <w:szCs w:val="24"/>
        </w:rPr>
        <w:t>,</w:t>
      </w:r>
      <w:r w:rsidR="0048027E">
        <w:rPr>
          <w:rFonts w:ascii="Times New Roman" w:eastAsia="Times New Roman" w:hAnsi="Times New Roman" w:cs="Times New Roman"/>
          <w:sz w:val="24"/>
          <w:szCs w:val="24"/>
        </w:rPr>
        <w:t xml:space="preserve"> y se está avanzando </w:t>
      </w:r>
      <w:r w:rsidRPr="0048027E">
        <w:rPr>
          <w:rFonts w:ascii="Times New Roman" w:eastAsia="Times New Roman" w:hAnsi="Times New Roman" w:cs="Times New Roman"/>
          <w:sz w:val="24"/>
          <w:szCs w:val="24"/>
        </w:rPr>
        <w:t xml:space="preserve">en tecnologías de análisis de alimentos para </w:t>
      </w:r>
      <w:r w:rsidR="0048027E">
        <w:rPr>
          <w:rFonts w:ascii="Times New Roman" w:eastAsia="Times New Roman" w:hAnsi="Times New Roman" w:cs="Times New Roman"/>
          <w:sz w:val="24"/>
          <w:szCs w:val="24"/>
        </w:rPr>
        <w:t>una evaluación adecuada tanto de la presencia</w:t>
      </w:r>
      <w:r w:rsidRPr="0048027E">
        <w:rPr>
          <w:rFonts w:ascii="Times New Roman" w:eastAsia="Times New Roman" w:hAnsi="Times New Roman" w:cs="Times New Roman"/>
          <w:sz w:val="24"/>
          <w:szCs w:val="24"/>
        </w:rPr>
        <w:t xml:space="preserve"> de alérgenos no</w:t>
      </w:r>
      <w:r w:rsidRPr="0048027E">
        <w:rPr>
          <w:rFonts w:ascii="Times New Roman" w:eastAsia="Times New Roman" w:hAnsi="Times New Roman" w:cs="Times New Roman"/>
          <w:sz w:val="24"/>
          <w:szCs w:val="24"/>
        </w:rPr>
        <w:t xml:space="preserve"> deseados</w:t>
      </w:r>
      <w:r w:rsidR="0048027E">
        <w:rPr>
          <w:rFonts w:ascii="Times New Roman" w:eastAsia="Times New Roman" w:hAnsi="Times New Roman" w:cs="Times New Roman"/>
          <w:sz w:val="24"/>
          <w:szCs w:val="24"/>
        </w:rPr>
        <w:t xml:space="preserve"> como del conocimiento de la evaluación de riesgo individual del paciente</w:t>
      </w:r>
      <w:r w:rsidRPr="0048027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14743A2" w14:textId="77777777" w:rsidR="0048027E" w:rsidRDefault="006D1547" w:rsidP="0048027E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Por último,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la </w:t>
      </w:r>
      <w:r w:rsidR="0048027E">
        <w:rPr>
          <w:rFonts w:ascii="Times New Roman" w:eastAsia="Times New Roman" w:hAnsi="Times New Roman" w:cs="Times New Roman"/>
          <w:sz w:val="24"/>
          <w:szCs w:val="24"/>
        </w:rPr>
        <w:t xml:space="preserve">responsabilidad de la </w:t>
      </w:r>
      <w:r>
        <w:rPr>
          <w:rFonts w:ascii="Times New Roman" w:eastAsia="Times New Roman" w:hAnsi="Times New Roman" w:cs="Times New Roman"/>
          <w:sz w:val="24"/>
          <w:szCs w:val="24"/>
        </w:rPr>
        <w:t>restauración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8027E">
        <w:rPr>
          <w:rFonts w:ascii="Times New Roman" w:eastAsia="Times New Roman" w:hAnsi="Times New Roman" w:cs="Times New Roman"/>
          <w:sz w:val="24"/>
          <w:szCs w:val="24"/>
        </w:rPr>
        <w:t xml:space="preserve">(restaurantes, bares, comedores escolares, hospitales, catering, etc.) frente a </w:t>
      </w:r>
      <w:r w:rsidRPr="0048027E">
        <w:rPr>
          <w:rFonts w:ascii="Times New Roman" w:eastAsia="Times New Roman" w:hAnsi="Times New Roman" w:cs="Times New Roman"/>
          <w:sz w:val="24"/>
          <w:szCs w:val="24"/>
        </w:rPr>
        <w:t xml:space="preserve">las </w:t>
      </w:r>
      <w:r w:rsidR="0048027E">
        <w:rPr>
          <w:rFonts w:ascii="Times New Roman" w:eastAsia="Times New Roman" w:hAnsi="Times New Roman" w:cs="Times New Roman"/>
          <w:sz w:val="24"/>
          <w:szCs w:val="24"/>
        </w:rPr>
        <w:t>alergias alimentarias</w:t>
      </w:r>
      <w:r w:rsidRPr="004802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8027E">
        <w:rPr>
          <w:rFonts w:ascii="Times New Roman" w:eastAsia="Times New Roman" w:hAnsi="Times New Roman" w:cs="Times New Roman"/>
          <w:sz w:val="24"/>
          <w:szCs w:val="24"/>
        </w:rPr>
        <w:t xml:space="preserve">es </w:t>
      </w:r>
      <w:r w:rsidRPr="0048027E">
        <w:rPr>
          <w:rFonts w:ascii="Times New Roman" w:eastAsia="Times New Roman" w:hAnsi="Times New Roman" w:cs="Times New Roman"/>
          <w:sz w:val="24"/>
          <w:szCs w:val="24"/>
        </w:rPr>
        <w:t xml:space="preserve">formar adecuadamente al </w:t>
      </w:r>
      <w:r w:rsidR="0048027E">
        <w:rPr>
          <w:rFonts w:ascii="Times New Roman" w:eastAsia="Times New Roman" w:hAnsi="Times New Roman" w:cs="Times New Roman"/>
          <w:sz w:val="24"/>
          <w:szCs w:val="24"/>
        </w:rPr>
        <w:t>personal que los manipula, desd</w:t>
      </w:r>
      <w:r w:rsidRPr="0048027E">
        <w:rPr>
          <w:rFonts w:ascii="Times New Roman" w:eastAsia="Times New Roman" w:hAnsi="Times New Roman" w:cs="Times New Roman"/>
          <w:sz w:val="24"/>
          <w:szCs w:val="24"/>
        </w:rPr>
        <w:t>e</w:t>
      </w:r>
      <w:r w:rsidR="004802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8027E">
        <w:rPr>
          <w:rFonts w:ascii="Times New Roman" w:eastAsia="Times New Roman" w:hAnsi="Times New Roman" w:cs="Times New Roman"/>
          <w:sz w:val="24"/>
          <w:szCs w:val="24"/>
        </w:rPr>
        <w:t>la cocina ha</w:t>
      </w:r>
      <w:r w:rsidRPr="0048027E">
        <w:rPr>
          <w:rFonts w:ascii="Times New Roman" w:eastAsia="Times New Roman" w:hAnsi="Times New Roman" w:cs="Times New Roman"/>
          <w:sz w:val="24"/>
          <w:szCs w:val="24"/>
        </w:rPr>
        <w:t>sta</w:t>
      </w:r>
      <w:r w:rsidR="0048027E">
        <w:rPr>
          <w:rFonts w:ascii="Times New Roman" w:eastAsia="Times New Roman" w:hAnsi="Times New Roman" w:cs="Times New Roman"/>
          <w:sz w:val="24"/>
          <w:szCs w:val="24"/>
        </w:rPr>
        <w:t xml:space="preserve"> el comedor</w:t>
      </w:r>
      <w:r w:rsidRPr="0048027E">
        <w:rPr>
          <w:rFonts w:ascii="Times New Roman" w:eastAsia="Times New Roman" w:hAnsi="Times New Roman" w:cs="Times New Roman"/>
          <w:sz w:val="24"/>
          <w:szCs w:val="24"/>
        </w:rPr>
        <w:t xml:space="preserve">, en un sector donde el flujo de personal es muy cambiante y en ocasiones precario, tomar en </w:t>
      </w:r>
      <w:r w:rsidRPr="0048027E">
        <w:rPr>
          <w:rFonts w:ascii="Times New Roman" w:eastAsia="Times New Roman" w:hAnsi="Times New Roman" w:cs="Times New Roman"/>
          <w:sz w:val="24"/>
          <w:szCs w:val="24"/>
        </w:rPr>
        <w:lastRenderedPageBreak/>
        <w:t>serio las indicaciones de los clientes</w:t>
      </w:r>
      <w:r w:rsidR="0048027E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r w:rsidR="0048027E" w:rsidRPr="0048027E">
        <w:rPr>
          <w:rFonts w:ascii="Times New Roman" w:eastAsia="Times New Roman" w:hAnsi="Times New Roman" w:cs="Times New Roman"/>
          <w:sz w:val="24"/>
          <w:szCs w:val="24"/>
        </w:rPr>
        <w:t>informar</w:t>
      </w:r>
      <w:r w:rsidR="0048027E">
        <w:rPr>
          <w:rFonts w:ascii="Times New Roman" w:eastAsia="Times New Roman" w:hAnsi="Times New Roman" w:cs="Times New Roman"/>
          <w:sz w:val="24"/>
          <w:szCs w:val="24"/>
        </w:rPr>
        <w:t xml:space="preserve"> al cliente</w:t>
      </w:r>
      <w:r w:rsidR="0048027E" w:rsidRPr="0048027E">
        <w:rPr>
          <w:rFonts w:ascii="Times New Roman" w:eastAsia="Times New Roman" w:hAnsi="Times New Roman" w:cs="Times New Roman"/>
          <w:sz w:val="24"/>
          <w:szCs w:val="24"/>
        </w:rPr>
        <w:t xml:space="preserve"> de forma clara y accesible sobre los alérgenos, </w:t>
      </w:r>
      <w:r w:rsidR="0048027E">
        <w:rPr>
          <w:rFonts w:ascii="Times New Roman" w:eastAsia="Times New Roman" w:hAnsi="Times New Roman" w:cs="Times New Roman"/>
          <w:sz w:val="24"/>
          <w:szCs w:val="24"/>
        </w:rPr>
        <w:t xml:space="preserve">sería deseable que incluso informaran más allá de los grupos de alérgenos de declaración obligatoria. </w:t>
      </w:r>
    </w:p>
    <w:p w14:paraId="0000000B" w14:textId="52D82E64" w:rsidR="00F21042" w:rsidRPr="0048027E" w:rsidRDefault="0048027E" w:rsidP="0048027E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Así mismo, deben </w:t>
      </w:r>
      <w:r w:rsidR="006D1547" w:rsidRPr="0048027E">
        <w:rPr>
          <w:rFonts w:ascii="Times New Roman" w:eastAsia="Times New Roman" w:hAnsi="Times New Roman" w:cs="Times New Roman"/>
          <w:sz w:val="24"/>
          <w:szCs w:val="24"/>
        </w:rPr>
        <w:t xml:space="preserve">contar con planes de actuación en caso de emergencias como una reacción alérgica. </w:t>
      </w:r>
      <w:r w:rsidR="006D1547" w:rsidRPr="0048027E">
        <w:rPr>
          <w:rFonts w:ascii="Times New Roman" w:eastAsia="Times New Roman" w:hAnsi="Times New Roman" w:cs="Times New Roman"/>
          <w:sz w:val="24"/>
          <w:szCs w:val="24"/>
        </w:rPr>
        <w:t xml:space="preserve">En este sentido, </w:t>
      </w:r>
      <w:r w:rsidR="006D1547" w:rsidRPr="0048027E">
        <w:rPr>
          <w:rFonts w:ascii="Times New Roman" w:eastAsia="Times New Roman" w:hAnsi="Times New Roman" w:cs="Times New Roman"/>
          <w:sz w:val="24"/>
          <w:szCs w:val="24"/>
        </w:rPr>
        <w:t xml:space="preserve">el acceso a </w:t>
      </w:r>
      <w:proofErr w:type="spellStart"/>
      <w:r w:rsidR="006D1547" w:rsidRPr="0048027E">
        <w:rPr>
          <w:rFonts w:ascii="Times New Roman" w:eastAsia="Times New Roman" w:hAnsi="Times New Roman" w:cs="Times New Roman"/>
          <w:sz w:val="24"/>
          <w:szCs w:val="24"/>
        </w:rPr>
        <w:t>autoinyectores</w:t>
      </w:r>
      <w:proofErr w:type="spellEnd"/>
      <w:r w:rsidR="006D1547" w:rsidRPr="0048027E">
        <w:rPr>
          <w:rFonts w:ascii="Times New Roman" w:eastAsia="Times New Roman" w:hAnsi="Times New Roman" w:cs="Times New Roman"/>
          <w:sz w:val="24"/>
          <w:szCs w:val="24"/>
        </w:rPr>
        <w:t xml:space="preserve"> de adrenalina indicados en anafilaxia</w:t>
      </w:r>
      <w:r w:rsidR="006D1547" w:rsidRPr="0048027E">
        <w:rPr>
          <w:rFonts w:ascii="Times New Roman" w:eastAsia="Times New Roman" w:hAnsi="Times New Roman" w:cs="Times New Roman"/>
          <w:sz w:val="24"/>
          <w:szCs w:val="24"/>
        </w:rPr>
        <w:t xml:space="preserve"> actualmente depende de </w:t>
      </w:r>
      <w:r w:rsidR="006D1547" w:rsidRPr="0048027E">
        <w:rPr>
          <w:rFonts w:ascii="Times New Roman" w:eastAsia="Times New Roman" w:hAnsi="Times New Roman" w:cs="Times New Roman"/>
          <w:sz w:val="24"/>
          <w:szCs w:val="24"/>
        </w:rPr>
        <w:t xml:space="preserve">los </w:t>
      </w:r>
      <w:r w:rsidRPr="0048027E">
        <w:rPr>
          <w:rFonts w:ascii="Times New Roman" w:eastAsia="Times New Roman" w:hAnsi="Times New Roman" w:cs="Times New Roman"/>
          <w:sz w:val="24"/>
          <w:szCs w:val="24"/>
        </w:rPr>
        <w:t>pacientes</w:t>
      </w:r>
      <w:r w:rsidR="006D1547" w:rsidRPr="0048027E">
        <w:rPr>
          <w:rFonts w:ascii="Times New Roman" w:eastAsia="Times New Roman" w:hAnsi="Times New Roman" w:cs="Times New Roman"/>
          <w:sz w:val="24"/>
          <w:szCs w:val="24"/>
        </w:rPr>
        <w:t xml:space="preserve"> co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indicación médica únicamente. </w:t>
      </w:r>
      <w:r w:rsidRPr="0048027E">
        <w:rPr>
          <w:rFonts w:ascii="Times New Roman" w:eastAsia="Times New Roman" w:hAnsi="Times New Roman" w:cs="Times New Roman"/>
          <w:sz w:val="24"/>
          <w:szCs w:val="24"/>
        </w:rPr>
        <w:t>Esto deja desprotegidas a las personas que sufren una reacción por primera vez o que han olvidado su dispositivo.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</w:t>
      </w:r>
      <w:r w:rsidR="006D1547" w:rsidRPr="0048027E">
        <w:rPr>
          <w:rFonts w:ascii="Times New Roman" w:eastAsia="Times New Roman" w:hAnsi="Times New Roman" w:cs="Times New Roman"/>
          <w:sz w:val="24"/>
          <w:szCs w:val="24"/>
        </w:rPr>
        <w:t xml:space="preserve">xisten países en los que </w:t>
      </w:r>
      <w:r w:rsidR="006D1547" w:rsidRPr="0048027E">
        <w:rPr>
          <w:rFonts w:ascii="Times New Roman" w:eastAsia="Times New Roman" w:hAnsi="Times New Roman" w:cs="Times New Roman"/>
          <w:sz w:val="24"/>
          <w:szCs w:val="24"/>
        </w:rPr>
        <w:t>la legislación permite e incluso exige</w:t>
      </w:r>
      <w:r w:rsidR="006D1547" w:rsidRPr="004802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(ley de Sabrina en Canadá) </w:t>
      </w:r>
      <w:r w:rsidR="006D1547" w:rsidRPr="0048027E">
        <w:rPr>
          <w:rFonts w:ascii="Times New Roman" w:eastAsia="Times New Roman" w:hAnsi="Times New Roman" w:cs="Times New Roman"/>
          <w:sz w:val="24"/>
          <w:szCs w:val="24"/>
        </w:rPr>
        <w:t>que los colegios dispongan de</w:t>
      </w:r>
      <w:r w:rsidR="006D1547" w:rsidRPr="004802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D1547" w:rsidRPr="0048027E">
        <w:rPr>
          <w:rFonts w:ascii="Times New Roman" w:eastAsia="Times New Roman" w:hAnsi="Times New Roman" w:cs="Times New Roman"/>
          <w:sz w:val="24"/>
          <w:szCs w:val="24"/>
        </w:rPr>
        <w:t>autoinyectores</w:t>
      </w:r>
      <w:proofErr w:type="spellEnd"/>
      <w:r w:rsidR="006D1547" w:rsidRPr="0048027E">
        <w:rPr>
          <w:rFonts w:ascii="Times New Roman" w:eastAsia="Times New Roman" w:hAnsi="Times New Roman" w:cs="Times New Roman"/>
          <w:sz w:val="24"/>
          <w:szCs w:val="24"/>
        </w:rPr>
        <w:t xml:space="preserve"> de adrenalina de uso general.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La legislación </w:t>
      </w:r>
      <w:r w:rsidR="006D1547">
        <w:rPr>
          <w:rFonts w:ascii="Times New Roman" w:eastAsia="Times New Roman" w:hAnsi="Times New Roman" w:cs="Times New Roman"/>
          <w:sz w:val="24"/>
          <w:szCs w:val="24"/>
        </w:rPr>
        <w:t xml:space="preserve">relativa a la disponibilidad de adrenalina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 </w:t>
      </w:r>
      <w:r w:rsidR="006D1547">
        <w:rPr>
          <w:rFonts w:ascii="Times New Roman" w:eastAsia="Times New Roman" w:hAnsi="Times New Roman" w:cs="Times New Roman"/>
          <w:sz w:val="24"/>
          <w:szCs w:val="24"/>
        </w:rPr>
        <w:t>lugares públicos y restaurantes</w:t>
      </w:r>
      <w:bookmarkStart w:id="0" w:name="_GoBack"/>
      <w:bookmarkEnd w:id="0"/>
      <w:r w:rsidR="006D1547">
        <w:rPr>
          <w:rFonts w:ascii="Times New Roman" w:eastAsia="Times New Roman" w:hAnsi="Times New Roman" w:cs="Times New Roman"/>
          <w:sz w:val="24"/>
          <w:szCs w:val="24"/>
        </w:rPr>
        <w:t xml:space="preserve"> avanza a un ritmo más lento que en los colegios.</w:t>
      </w:r>
    </w:p>
    <w:p w14:paraId="0000000D" w14:textId="7F29C74A" w:rsidR="00F21042" w:rsidRPr="0048027E" w:rsidRDefault="006D1547" w:rsidP="0048027E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Durante esta semana, invitamos a profesionales de la salud, educadores, familias y al público ge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neral a comprender las alergias alimentarias y su gravedad potencial para reflexionar y tratar de alcanzar los hitos que permitan no solo salvar vidas, </w:t>
      </w:r>
      <w:r w:rsidR="0048027E" w:rsidRPr="0048027E">
        <w:rPr>
          <w:rFonts w:ascii="Times New Roman" w:eastAsia="Times New Roman" w:hAnsi="Times New Roman" w:cs="Times New Roman"/>
          <w:sz w:val="24"/>
          <w:szCs w:val="24"/>
        </w:rPr>
        <w:t>sino también construir entornos más inclusivos y seguros para todos</w:t>
      </w:r>
    </w:p>
    <w:sectPr w:rsidR="00F21042" w:rsidRPr="0048027E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42673B"/>
    <w:multiLevelType w:val="multilevel"/>
    <w:tmpl w:val="2B34D358"/>
    <w:lvl w:ilvl="0">
      <w:start w:val="1"/>
      <w:numFmt w:val="decimal"/>
      <w:pStyle w:val="Ttulo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042"/>
    <w:rsid w:val="0048027E"/>
    <w:rsid w:val="006D1547"/>
    <w:rsid w:val="00EB374C"/>
    <w:rsid w:val="00F21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4BBE3"/>
  <w15:docId w15:val="{39D59D0D-1616-42BD-AF16-07D90ED8C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8458C"/>
    <w:pPr>
      <w:keepNext/>
      <w:keepLines/>
      <w:numPr>
        <w:numId w:val="1"/>
      </w:numPr>
      <w:tabs>
        <w:tab w:val="left" w:pos="567"/>
      </w:tabs>
      <w:spacing w:after="120" w:line="360" w:lineRule="auto"/>
      <w:ind w:hanging="360"/>
      <w:outlineLvl w:val="1"/>
    </w:pPr>
    <w:rPr>
      <w:rFonts w:eastAsia="Times New Roman"/>
      <w:b/>
      <w:i/>
      <w:sz w:val="24"/>
    </w:rPr>
  </w:style>
  <w:style w:type="paragraph" w:styleId="Ttulo3">
    <w:name w:val="heading 3"/>
    <w:basedOn w:val="Normal"/>
    <w:link w:val="Ttulo3Car"/>
    <w:uiPriority w:val="9"/>
    <w:qFormat/>
    <w:rsid w:val="00C4537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135E0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2Car">
    <w:name w:val="Título 2 Car"/>
    <w:basedOn w:val="Fuentedeprrafopredeter"/>
    <w:link w:val="Ttulo2"/>
    <w:uiPriority w:val="9"/>
    <w:rsid w:val="0078458C"/>
    <w:rPr>
      <w:rFonts w:ascii="Calibri" w:eastAsia="Times New Roman" w:hAnsi="Calibri" w:cs="Calibri"/>
      <w:b/>
      <w:i/>
      <w:sz w:val="24"/>
    </w:rPr>
  </w:style>
  <w:style w:type="character" w:customStyle="1" w:styleId="Ttulo3Car">
    <w:name w:val="Título 3 Car"/>
    <w:basedOn w:val="Fuentedeprrafopredeter"/>
    <w:link w:val="Ttulo3"/>
    <w:uiPriority w:val="9"/>
    <w:rsid w:val="00C45372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styleId="Textoennegrita">
    <w:name w:val="Strong"/>
    <w:basedOn w:val="Fuentedeprrafopredeter"/>
    <w:uiPriority w:val="22"/>
    <w:qFormat/>
    <w:rsid w:val="00C45372"/>
    <w:rPr>
      <w:b/>
      <w:bCs/>
    </w:rPr>
  </w:style>
  <w:style w:type="character" w:customStyle="1" w:styleId="Ttulo4Car">
    <w:name w:val="Título 4 Car"/>
    <w:basedOn w:val="Fuentedeprrafopredeter"/>
    <w:link w:val="Ttulo4"/>
    <w:uiPriority w:val="9"/>
    <w:rsid w:val="00135E0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ormalWeb">
    <w:name w:val="Normal (Web)"/>
    <w:basedOn w:val="Normal"/>
    <w:uiPriority w:val="99"/>
    <w:semiHidden/>
    <w:unhideWhenUsed/>
    <w:rsid w:val="00135E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/E4ziH3bLxMLPQoe0Cai7q8i90w==">CgMxLjA4AHIhMTBwUU9udXR3YmRzR3JvbUkxbTZnbno2eXR2T2s2ZHNi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2</Pages>
  <Words>717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CUN</Company>
  <LinksUpToDate>false</LinksUpToDate>
  <CharactersWithSpaces>4656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Jose Goikoetxea</dc:creator>
  <cp:lastModifiedBy>Maria Jose Goikoetxea</cp:lastModifiedBy>
  <cp:revision>3</cp:revision>
  <dcterms:created xsi:type="dcterms:W3CDTF">2025-05-07T08:40:00Z</dcterms:created>
  <dcterms:modified xsi:type="dcterms:W3CDTF">2025-05-08T15:35:00Z</dcterms:modified>
</cp:coreProperties>
</file>