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1F0C9" w14:textId="77777777" w:rsidR="002D3E2F" w:rsidRDefault="00000000">
      <w:pPr>
        <w:spacing w:after="0" w:line="240" w:lineRule="auto"/>
        <w:rPr>
          <w:rFonts w:ascii="Arial" w:eastAsia="Arial" w:hAnsi="Arial" w:cs="Arial"/>
          <w:b/>
          <w:sz w:val="28"/>
          <w:szCs w:val="28"/>
        </w:rPr>
      </w:pPr>
      <w:r>
        <w:rPr>
          <w:rFonts w:ascii="Arial" w:eastAsia="Arial" w:hAnsi="Arial" w:cs="Arial"/>
          <w:b/>
          <w:noProof/>
          <w:sz w:val="28"/>
          <w:szCs w:val="28"/>
        </w:rPr>
        <w:drawing>
          <wp:anchor distT="0" distB="0" distL="114300" distR="114300" simplePos="0" relativeHeight="251658240" behindDoc="0" locked="0" layoutInCell="1" hidden="0" allowOverlap="1" wp14:anchorId="40DBEF3D" wp14:editId="5075D6C5">
            <wp:simplePos x="0" y="0"/>
            <wp:positionH relativeFrom="margin">
              <wp:posOffset>5248275</wp:posOffset>
            </wp:positionH>
            <wp:positionV relativeFrom="margin">
              <wp:posOffset>-857248</wp:posOffset>
            </wp:positionV>
            <wp:extent cx="1196340" cy="132080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96340" cy="1320800"/>
                    </a:xfrm>
                    <a:prstGeom prst="rect">
                      <a:avLst/>
                    </a:prstGeom>
                    <a:ln/>
                  </pic:spPr>
                </pic:pic>
              </a:graphicData>
            </a:graphic>
          </wp:anchor>
        </w:drawing>
      </w:r>
    </w:p>
    <w:p w14:paraId="6EFEFF1F" w14:textId="77777777" w:rsidR="002D3E2F" w:rsidRDefault="002D3E2F">
      <w:pPr>
        <w:spacing w:after="0" w:line="240" w:lineRule="auto"/>
        <w:rPr>
          <w:rFonts w:ascii="Arial" w:eastAsia="Arial" w:hAnsi="Arial" w:cs="Arial"/>
          <w:b/>
          <w:i/>
          <w:sz w:val="24"/>
          <w:szCs w:val="24"/>
        </w:rPr>
      </w:pPr>
    </w:p>
    <w:p w14:paraId="478E39A1" w14:textId="77777777" w:rsidR="002D3E2F" w:rsidRDefault="00000000">
      <w:pPr>
        <w:spacing w:after="0" w:line="240" w:lineRule="auto"/>
        <w:jc w:val="center"/>
        <w:rPr>
          <w:rFonts w:ascii="Arial" w:eastAsia="Arial" w:hAnsi="Arial" w:cs="Arial"/>
          <w:b/>
          <w:sz w:val="21"/>
          <w:szCs w:val="21"/>
          <w:u w:val="single"/>
        </w:rPr>
      </w:pPr>
      <w:r>
        <w:rPr>
          <w:rFonts w:ascii="Arial" w:eastAsia="Arial" w:hAnsi="Arial" w:cs="Arial"/>
          <w:b/>
          <w:sz w:val="21"/>
          <w:szCs w:val="21"/>
          <w:u w:val="single"/>
        </w:rPr>
        <w:t>Con motivo del inicio de curso</w:t>
      </w:r>
    </w:p>
    <w:p w14:paraId="3645A896" w14:textId="77777777" w:rsidR="002D3E2F" w:rsidRDefault="002D3E2F">
      <w:pPr>
        <w:spacing w:after="0" w:line="240" w:lineRule="auto"/>
        <w:jc w:val="center"/>
        <w:rPr>
          <w:rFonts w:ascii="Arial" w:eastAsia="Arial" w:hAnsi="Arial" w:cs="Arial"/>
          <w:b/>
          <w:sz w:val="21"/>
          <w:szCs w:val="21"/>
          <w:u w:val="single"/>
        </w:rPr>
      </w:pPr>
    </w:p>
    <w:p w14:paraId="296146D4" w14:textId="77777777" w:rsidR="002D3E2F" w:rsidRDefault="00000000">
      <w:pPr>
        <w:spacing w:after="0"/>
        <w:jc w:val="center"/>
        <w:rPr>
          <w:rFonts w:ascii="Arial" w:eastAsia="Arial" w:hAnsi="Arial" w:cs="Arial"/>
          <w:b/>
          <w:sz w:val="28"/>
          <w:szCs w:val="28"/>
        </w:rPr>
      </w:pPr>
      <w:r>
        <w:rPr>
          <w:rFonts w:ascii="Arial" w:eastAsia="Arial" w:hAnsi="Arial" w:cs="Arial"/>
          <w:b/>
          <w:sz w:val="28"/>
          <w:szCs w:val="28"/>
        </w:rPr>
        <w:t>La SEAIC recuerda la importancia de informar al centro escolar sobre la alergia o las alergias que padecen los menores</w:t>
      </w:r>
    </w:p>
    <w:p w14:paraId="13E6FFAC" w14:textId="77777777" w:rsidR="002D3E2F" w:rsidRDefault="002D3E2F">
      <w:pPr>
        <w:spacing w:after="0"/>
        <w:rPr>
          <w:rFonts w:ascii="Arial" w:eastAsia="Arial" w:hAnsi="Arial" w:cs="Arial"/>
          <w:b/>
          <w:sz w:val="28"/>
          <w:szCs w:val="28"/>
        </w:rPr>
      </w:pPr>
    </w:p>
    <w:p w14:paraId="1FEB15FE" w14:textId="77777777" w:rsidR="002D3E2F" w:rsidRDefault="00000000">
      <w:pPr>
        <w:numPr>
          <w:ilvl w:val="0"/>
          <w:numId w:val="1"/>
        </w:numPr>
        <w:tabs>
          <w:tab w:val="center" w:pos="4252"/>
          <w:tab w:val="right" w:pos="8504"/>
        </w:tabs>
        <w:spacing w:after="0" w:line="259" w:lineRule="auto"/>
        <w:jc w:val="both"/>
        <w:rPr>
          <w:rFonts w:ascii="Arial" w:eastAsia="Arial" w:hAnsi="Arial" w:cs="Arial"/>
          <w:b/>
        </w:rPr>
      </w:pPr>
      <w:r>
        <w:rPr>
          <w:rFonts w:ascii="Arial" w:eastAsia="Arial" w:hAnsi="Arial" w:cs="Arial"/>
          <w:b/>
        </w:rPr>
        <w:t>Las alergias pueden afectar significativamente a la vida escolar de un niño, por lo que es fundamental mantener una comunicación regular del estado de la alergia con el centro.</w:t>
      </w:r>
    </w:p>
    <w:p w14:paraId="18B78712" w14:textId="77777777" w:rsidR="002D3E2F" w:rsidRDefault="00000000">
      <w:pPr>
        <w:numPr>
          <w:ilvl w:val="0"/>
          <w:numId w:val="1"/>
        </w:numPr>
        <w:tabs>
          <w:tab w:val="center" w:pos="4252"/>
          <w:tab w:val="right" w:pos="8504"/>
        </w:tabs>
        <w:spacing w:after="0" w:line="259" w:lineRule="auto"/>
        <w:jc w:val="both"/>
        <w:rPr>
          <w:rFonts w:ascii="Arial" w:eastAsia="Arial" w:hAnsi="Arial" w:cs="Arial"/>
          <w:b/>
        </w:rPr>
      </w:pPr>
      <w:r>
        <w:rPr>
          <w:rFonts w:ascii="Arial" w:eastAsia="Arial" w:hAnsi="Arial" w:cs="Arial"/>
          <w:b/>
        </w:rPr>
        <w:t>Además, es clave preparar a los niños para que ellos mismos puedan tomar un papel activo en el control de su alergia.</w:t>
      </w:r>
    </w:p>
    <w:p w14:paraId="53C57031" w14:textId="77777777" w:rsidR="002D3E2F" w:rsidRDefault="00000000">
      <w:pPr>
        <w:numPr>
          <w:ilvl w:val="0"/>
          <w:numId w:val="1"/>
        </w:numPr>
        <w:tabs>
          <w:tab w:val="center" w:pos="4252"/>
          <w:tab w:val="right" w:pos="8504"/>
        </w:tabs>
        <w:spacing w:line="259" w:lineRule="auto"/>
        <w:jc w:val="both"/>
        <w:rPr>
          <w:rFonts w:ascii="Arial" w:eastAsia="Arial" w:hAnsi="Arial" w:cs="Arial"/>
          <w:b/>
        </w:rPr>
      </w:pPr>
      <w:r>
        <w:rPr>
          <w:rFonts w:ascii="Arial" w:eastAsia="Arial" w:hAnsi="Arial" w:cs="Arial"/>
          <w:b/>
        </w:rPr>
        <w:t>Desde la SEAIC Y AEPNAA se propone un protocolo de actuación en caso de reacción alérgica en la escuela, incluso en los casos más graves (anafilaxia).</w:t>
      </w:r>
    </w:p>
    <w:p w14:paraId="586DD98C" w14:textId="028357BE" w:rsidR="002D3E2F" w:rsidRDefault="00000000">
      <w:pPr>
        <w:shd w:val="clear" w:color="auto" w:fill="FFFFFF"/>
        <w:spacing w:before="240" w:after="160"/>
        <w:jc w:val="both"/>
        <w:rPr>
          <w:rFonts w:ascii="Arial" w:eastAsia="Arial" w:hAnsi="Arial" w:cs="Arial"/>
          <w:sz w:val="24"/>
          <w:szCs w:val="24"/>
        </w:rPr>
      </w:pPr>
      <w:r>
        <w:rPr>
          <w:rFonts w:ascii="Arial" w:eastAsia="Arial" w:hAnsi="Arial" w:cs="Arial"/>
          <w:b/>
          <w:sz w:val="24"/>
          <w:szCs w:val="24"/>
        </w:rPr>
        <w:t xml:space="preserve">Madrid, </w:t>
      </w:r>
      <w:r w:rsidR="00644829">
        <w:rPr>
          <w:rFonts w:ascii="Arial" w:eastAsia="Arial" w:hAnsi="Arial" w:cs="Arial"/>
          <w:b/>
          <w:sz w:val="24"/>
          <w:szCs w:val="24"/>
        </w:rPr>
        <w:t>26</w:t>
      </w:r>
      <w:r>
        <w:rPr>
          <w:rFonts w:ascii="Arial" w:eastAsia="Arial" w:hAnsi="Arial" w:cs="Arial"/>
          <w:b/>
          <w:sz w:val="24"/>
          <w:szCs w:val="24"/>
        </w:rPr>
        <w:t xml:space="preserve"> de </w:t>
      </w:r>
      <w:r w:rsidR="00644829">
        <w:rPr>
          <w:rFonts w:ascii="Arial" w:eastAsia="Arial" w:hAnsi="Arial" w:cs="Arial"/>
          <w:b/>
          <w:sz w:val="24"/>
          <w:szCs w:val="24"/>
        </w:rPr>
        <w:t>septiembre</w:t>
      </w:r>
      <w:r>
        <w:rPr>
          <w:rFonts w:ascii="Arial" w:eastAsia="Arial" w:hAnsi="Arial" w:cs="Arial"/>
          <w:b/>
          <w:sz w:val="24"/>
          <w:szCs w:val="24"/>
        </w:rPr>
        <w:t xml:space="preserve"> de 2024.- </w:t>
      </w:r>
      <w:r>
        <w:rPr>
          <w:rFonts w:ascii="Arial" w:eastAsia="Arial" w:hAnsi="Arial" w:cs="Arial"/>
          <w:sz w:val="24"/>
          <w:szCs w:val="24"/>
        </w:rPr>
        <w:t>Las alergias pueden afectar significativamente a la vida escolar de un niño, influyendo en su capacidad para concentrarse, participar en actividades y socializar. Por ello, desde la Sociedad Española de Alergología e Inmunología Clínica (SEAIC) recuerdan la importancia de informar al centro escolar sobre la alergia del menor para asegurarse de que los profesores y /o enfermeras escolares están al tanto de sus alergias y comprenden cómo manejarlas.</w:t>
      </w:r>
    </w:p>
    <w:p w14:paraId="093FB039" w14:textId="77777777" w:rsidR="002D3E2F" w:rsidRDefault="00000000">
      <w:pPr>
        <w:shd w:val="clear" w:color="auto" w:fill="FFFFFF"/>
        <w:spacing w:before="240" w:after="160"/>
        <w:jc w:val="both"/>
        <w:rPr>
          <w:rFonts w:ascii="Arial" w:eastAsia="Arial" w:hAnsi="Arial" w:cs="Arial"/>
          <w:sz w:val="24"/>
          <w:szCs w:val="24"/>
        </w:rPr>
      </w:pPr>
      <w:r>
        <w:rPr>
          <w:rFonts w:ascii="Arial" w:eastAsia="Arial" w:hAnsi="Arial" w:cs="Arial"/>
          <w:i/>
          <w:sz w:val="24"/>
          <w:szCs w:val="24"/>
        </w:rPr>
        <w:t>“Es recomendable solicitar una reunión al inicio de curso escolar con el tutor del niño para aportar el informe médico actualizado de su alergólogo. Todo el personal del centro que tenga trato directo y cercano debe estar enterado de la patología que padece, así como de dónde se encuentra la medicación de rescate y de cómo actuar en caso de reacción”</w:t>
      </w:r>
      <w:r>
        <w:rPr>
          <w:rFonts w:ascii="Arial" w:eastAsia="Arial" w:hAnsi="Arial" w:cs="Arial"/>
          <w:sz w:val="24"/>
          <w:szCs w:val="24"/>
        </w:rPr>
        <w:t xml:space="preserve">, explica la </w:t>
      </w:r>
      <w:r>
        <w:rPr>
          <w:rFonts w:ascii="Arial" w:eastAsia="Arial" w:hAnsi="Arial" w:cs="Arial"/>
          <w:b/>
          <w:sz w:val="24"/>
          <w:szCs w:val="24"/>
        </w:rPr>
        <w:t>Dra. Sonsoles Infante, presidenta del Comité de Alergia Infantil de la SEAIC</w:t>
      </w:r>
      <w:r>
        <w:rPr>
          <w:rFonts w:ascii="Arial" w:eastAsia="Arial" w:hAnsi="Arial" w:cs="Arial"/>
          <w:sz w:val="24"/>
          <w:szCs w:val="24"/>
        </w:rPr>
        <w:t xml:space="preserve">. Sin embargo, no basta con informar sobre la alergia únicamente al principio del curso. Mantener una comunicación fluida durante el año escolar es esencial para asegurar que el estado alergológico del niño esté siempre bajo control. </w:t>
      </w:r>
      <w:r>
        <w:rPr>
          <w:rFonts w:ascii="Arial" w:eastAsia="Arial" w:hAnsi="Arial" w:cs="Arial"/>
          <w:i/>
          <w:sz w:val="24"/>
          <w:szCs w:val="24"/>
        </w:rPr>
        <w:t>"Más allá de los primeros días, la comunicación con el personal de la escuela debe ser regular para mantenerles actualizados del estado del menor"</w:t>
      </w:r>
      <w:r>
        <w:rPr>
          <w:rFonts w:ascii="Arial" w:eastAsia="Arial" w:hAnsi="Arial" w:cs="Arial"/>
          <w:sz w:val="24"/>
          <w:szCs w:val="24"/>
        </w:rPr>
        <w:t>, añade la experta.</w:t>
      </w:r>
    </w:p>
    <w:p w14:paraId="6B581E72" w14:textId="77777777" w:rsidR="002D3E2F"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 xml:space="preserve">Los niños con alergias alimentarias deberán llevar un seguimiento estrecho en ciertas áreas como el comedor o el patio en horas de almuerzo, donde el contacto con alérgenos podría ser más probable. Del mismo modo, aquellos con alergias ambientales pueden tener dificultades durante las actividades al aire libre. </w:t>
      </w:r>
    </w:p>
    <w:p w14:paraId="2E94EDE8" w14:textId="77777777" w:rsidR="002D3E2F"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 xml:space="preserve">Además de informar al personal docente y a la enfermería, también es clave preparar a los niños para que ellos mismos puedan tomar un papel activo en el control de su alergia. La ansiedad por controlar las alergias y el miedo a una reacción podrían provocar dificultades en el rendimiento académico o </w:t>
      </w:r>
      <w:r>
        <w:rPr>
          <w:rFonts w:ascii="Arial" w:eastAsia="Arial" w:hAnsi="Arial" w:cs="Arial"/>
          <w:sz w:val="24"/>
          <w:szCs w:val="24"/>
        </w:rPr>
        <w:lastRenderedPageBreak/>
        <w:t xml:space="preserve">aislamiento social. Por todo ello, es fundamental enseñarle al niño a comprender y comunicar sus alergias de formas apropiadas para su edad. Por ejemplo, deben ser capaces de evitar compartir comida y reconocer cuándo podrían estar teniendo una reacción para avisar a sus cuidadores. </w:t>
      </w:r>
    </w:p>
    <w:p w14:paraId="2277A5BD" w14:textId="77777777" w:rsidR="002D3E2F" w:rsidRDefault="00000000">
      <w:pPr>
        <w:shd w:val="clear" w:color="auto" w:fill="FFFFFF"/>
        <w:spacing w:before="240" w:after="160"/>
        <w:jc w:val="both"/>
        <w:rPr>
          <w:rFonts w:ascii="Arial" w:eastAsia="Arial" w:hAnsi="Arial" w:cs="Arial"/>
          <w:sz w:val="24"/>
          <w:szCs w:val="24"/>
        </w:rPr>
      </w:pPr>
      <w:r>
        <w:rPr>
          <w:rFonts w:ascii="Arial" w:eastAsia="Arial" w:hAnsi="Arial" w:cs="Arial"/>
          <w:b/>
          <w:sz w:val="24"/>
          <w:szCs w:val="24"/>
        </w:rPr>
        <w:t>Cómo actuar ante una emergencia alérgica</w:t>
      </w:r>
    </w:p>
    <w:p w14:paraId="631E0FEF" w14:textId="77777777" w:rsidR="002D3E2F"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 xml:space="preserve">Uno de los escenarios más temidos por los padres y profesores es la posibilidad de que el niño sufra una reacción alérgica grave o anafilaxia. </w:t>
      </w:r>
      <w:r>
        <w:rPr>
          <w:rFonts w:ascii="Arial" w:eastAsia="Arial" w:hAnsi="Arial" w:cs="Arial"/>
          <w:i/>
          <w:sz w:val="24"/>
          <w:szCs w:val="24"/>
        </w:rPr>
        <w:t xml:space="preserve">“Los síntomas incluyen dificultad para </w:t>
      </w:r>
      <w:proofErr w:type="gramStart"/>
      <w:r>
        <w:rPr>
          <w:rFonts w:ascii="Arial" w:eastAsia="Arial" w:hAnsi="Arial" w:cs="Arial"/>
          <w:i/>
          <w:sz w:val="24"/>
          <w:szCs w:val="24"/>
        </w:rPr>
        <w:t>respirar,  hinchazón</w:t>
      </w:r>
      <w:proofErr w:type="gramEnd"/>
      <w:r>
        <w:rPr>
          <w:rFonts w:ascii="Arial" w:eastAsia="Arial" w:hAnsi="Arial" w:cs="Arial"/>
          <w:i/>
          <w:sz w:val="24"/>
          <w:szCs w:val="24"/>
        </w:rPr>
        <w:t xml:space="preserve"> de la cara o la garganta, urticaria, mareos o pérdida del conocimiento. Si se sospecha anafilaxia, se debe actuar de inmediato administrando un </w:t>
      </w:r>
      <w:proofErr w:type="spellStart"/>
      <w:r>
        <w:rPr>
          <w:rFonts w:ascii="Arial" w:eastAsia="Arial" w:hAnsi="Arial" w:cs="Arial"/>
          <w:i/>
          <w:sz w:val="24"/>
          <w:szCs w:val="24"/>
        </w:rPr>
        <w:t>autoinyector</w:t>
      </w:r>
      <w:proofErr w:type="spellEnd"/>
      <w:r>
        <w:rPr>
          <w:rFonts w:ascii="Arial" w:eastAsia="Arial" w:hAnsi="Arial" w:cs="Arial"/>
          <w:i/>
          <w:sz w:val="24"/>
          <w:szCs w:val="24"/>
        </w:rPr>
        <w:t xml:space="preserve"> de adrenalina y llamando a los servicios de emergencia. Es vital asegurarse de que el niño reciba atención médica inmediata”</w:t>
      </w:r>
      <w:r>
        <w:rPr>
          <w:rFonts w:ascii="Arial" w:eastAsia="Arial" w:hAnsi="Arial" w:cs="Arial"/>
          <w:sz w:val="24"/>
          <w:szCs w:val="24"/>
        </w:rPr>
        <w:t>, expone la experta.</w:t>
      </w:r>
    </w:p>
    <w:p w14:paraId="13564095" w14:textId="77777777" w:rsidR="002D3E2F"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 xml:space="preserve">Desde la SEAIC Y AEPNAA (Asociación Española de Personas con Alergia a Alimentos y Látex) se propone un </w:t>
      </w:r>
      <w:hyperlink r:id="rId9">
        <w:r>
          <w:rPr>
            <w:rFonts w:ascii="Arial" w:eastAsia="Arial" w:hAnsi="Arial" w:cs="Arial"/>
            <w:color w:val="1155CC"/>
            <w:sz w:val="24"/>
            <w:szCs w:val="24"/>
            <w:u w:val="single"/>
          </w:rPr>
          <w:t>protocolo de actuación en caso de reacción alérgica en la escuela</w:t>
        </w:r>
      </w:hyperlink>
      <w:r>
        <w:rPr>
          <w:rFonts w:ascii="Arial" w:eastAsia="Arial" w:hAnsi="Arial" w:cs="Arial"/>
          <w:sz w:val="24"/>
          <w:szCs w:val="24"/>
        </w:rPr>
        <w:t xml:space="preserve"> que se puede adjuntar a la medicación, donde se especifica qué fármaco y dosis se debe administrar según la sintomatología del paciente.</w:t>
      </w:r>
    </w:p>
    <w:p w14:paraId="6EF85829" w14:textId="77777777" w:rsidR="002D3E2F" w:rsidRDefault="002D3E2F">
      <w:pPr>
        <w:shd w:val="clear" w:color="auto" w:fill="FFFFFF"/>
        <w:spacing w:before="240" w:after="240"/>
        <w:jc w:val="both"/>
        <w:rPr>
          <w:rFonts w:ascii="Arial" w:eastAsia="Arial" w:hAnsi="Arial" w:cs="Arial"/>
          <w:sz w:val="24"/>
          <w:szCs w:val="24"/>
        </w:rPr>
      </w:pPr>
    </w:p>
    <w:p w14:paraId="485B1A66" w14:textId="77777777" w:rsidR="002D3E2F" w:rsidRDefault="00000000">
      <w:pPr>
        <w:shd w:val="clear" w:color="auto" w:fill="FFFFFF"/>
        <w:spacing w:before="240" w:after="160"/>
        <w:jc w:val="both"/>
        <w:rPr>
          <w:rFonts w:ascii="Arial" w:eastAsia="Arial" w:hAnsi="Arial" w:cs="Arial"/>
          <w:b/>
        </w:rPr>
      </w:pPr>
      <w:r>
        <w:rPr>
          <w:rFonts w:ascii="Arial" w:eastAsia="Arial" w:hAnsi="Arial" w:cs="Arial"/>
          <w:b/>
        </w:rPr>
        <w:t>*Para más información</w:t>
      </w:r>
    </w:p>
    <w:p w14:paraId="6A109E7B" w14:textId="77777777" w:rsidR="002D3E2F" w:rsidRDefault="00000000">
      <w:pPr>
        <w:spacing w:before="240" w:after="0"/>
        <w:jc w:val="both"/>
        <w:rPr>
          <w:rFonts w:ascii="Arial" w:eastAsia="Arial" w:hAnsi="Arial" w:cs="Arial"/>
          <w:b/>
        </w:rPr>
      </w:pPr>
      <w:r>
        <w:rPr>
          <w:rFonts w:ascii="Arial" w:eastAsia="Arial" w:hAnsi="Arial" w:cs="Arial"/>
          <w:b/>
        </w:rPr>
        <w:t>ALABRA / 91 789 14 59</w:t>
      </w:r>
    </w:p>
    <w:p w14:paraId="1A9CD650" w14:textId="77777777" w:rsidR="002D3E2F" w:rsidRDefault="00000000">
      <w:pPr>
        <w:spacing w:before="240" w:after="0"/>
        <w:jc w:val="both"/>
        <w:rPr>
          <w:rFonts w:ascii="Arial" w:eastAsia="Arial" w:hAnsi="Arial" w:cs="Arial"/>
          <w:b/>
          <w:color w:val="0000FF"/>
        </w:rPr>
      </w:pPr>
      <w:r>
        <w:rPr>
          <w:rFonts w:ascii="Arial" w:eastAsia="Arial" w:hAnsi="Arial" w:cs="Arial"/>
          <w:b/>
        </w:rPr>
        <w:t xml:space="preserve">Carolina López </w:t>
      </w:r>
      <w:hyperlink r:id="rId10">
        <w:r>
          <w:rPr>
            <w:rFonts w:ascii="Arial" w:eastAsia="Arial" w:hAnsi="Arial" w:cs="Arial"/>
            <w:b/>
            <w:color w:val="1155CC"/>
            <w:u w:val="single"/>
          </w:rPr>
          <w:t>carolina.lopez@alabra.es</w:t>
        </w:r>
      </w:hyperlink>
    </w:p>
    <w:p w14:paraId="0DD677AF" w14:textId="77777777" w:rsidR="002D3E2F" w:rsidRDefault="00000000">
      <w:pPr>
        <w:spacing w:before="240" w:after="0"/>
        <w:jc w:val="both"/>
        <w:rPr>
          <w:rFonts w:ascii="Arial" w:eastAsia="Arial" w:hAnsi="Arial" w:cs="Arial"/>
          <w:b/>
          <w:color w:val="0000FF"/>
        </w:rPr>
      </w:pPr>
      <w:r>
        <w:rPr>
          <w:rFonts w:ascii="Arial" w:eastAsia="Arial" w:hAnsi="Arial" w:cs="Arial"/>
          <w:b/>
        </w:rPr>
        <w:t xml:space="preserve">Helena Pastor </w:t>
      </w:r>
      <w:hyperlink r:id="rId11">
        <w:r>
          <w:rPr>
            <w:rFonts w:ascii="Arial" w:eastAsia="Arial" w:hAnsi="Arial" w:cs="Arial"/>
            <w:b/>
            <w:color w:val="1155CC"/>
            <w:u w:val="single"/>
          </w:rPr>
          <w:t>helena.pastor@alabra.es</w:t>
        </w:r>
      </w:hyperlink>
    </w:p>
    <w:p w14:paraId="77BA2606" w14:textId="77777777" w:rsidR="002D3E2F" w:rsidRDefault="002D3E2F">
      <w:pPr>
        <w:spacing w:before="240" w:after="0"/>
        <w:jc w:val="both"/>
        <w:rPr>
          <w:rFonts w:ascii="Arial" w:eastAsia="Arial" w:hAnsi="Arial" w:cs="Arial"/>
          <w:b/>
          <w:color w:val="0000FF"/>
        </w:rPr>
      </w:pPr>
    </w:p>
    <w:p w14:paraId="3B51AFE3" w14:textId="77777777" w:rsidR="002D3E2F" w:rsidRDefault="00000000">
      <w:pPr>
        <w:spacing w:before="240" w:after="0"/>
        <w:jc w:val="both"/>
        <w:rPr>
          <w:rFonts w:ascii="Arial" w:eastAsia="Arial" w:hAnsi="Arial" w:cs="Arial"/>
          <w:b/>
        </w:rPr>
      </w:pPr>
      <w:r>
        <w:rPr>
          <w:rFonts w:ascii="Arial" w:eastAsia="Arial" w:hAnsi="Arial" w:cs="Arial"/>
          <w:b/>
        </w:rPr>
        <w:t xml:space="preserve"> </w:t>
      </w:r>
    </w:p>
    <w:p w14:paraId="47D56D1C" w14:textId="77777777" w:rsidR="002D3E2F" w:rsidRDefault="00000000">
      <w:pPr>
        <w:spacing w:before="240" w:after="0"/>
        <w:jc w:val="both"/>
        <w:rPr>
          <w:rFonts w:ascii="Arial" w:eastAsia="Arial" w:hAnsi="Arial" w:cs="Arial"/>
        </w:rPr>
      </w:pPr>
      <w:r>
        <w:rPr>
          <w:rFonts w:ascii="Arial" w:eastAsia="Arial" w:hAnsi="Arial" w:cs="Arial"/>
        </w:rPr>
        <w:t xml:space="preserve"> </w:t>
      </w:r>
    </w:p>
    <w:p w14:paraId="61C79640" w14:textId="77777777" w:rsidR="002D3E2F" w:rsidRDefault="002D3E2F">
      <w:pPr>
        <w:spacing w:after="0"/>
        <w:jc w:val="both"/>
        <w:rPr>
          <w:rFonts w:ascii="Arial" w:eastAsia="Arial" w:hAnsi="Arial" w:cs="Arial"/>
        </w:rPr>
      </w:pPr>
    </w:p>
    <w:sectPr w:rsidR="002D3E2F">
      <w:head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F0C28" w14:textId="77777777" w:rsidR="001E360B" w:rsidRDefault="001E360B">
      <w:pPr>
        <w:spacing w:after="0" w:line="240" w:lineRule="auto"/>
      </w:pPr>
      <w:r>
        <w:separator/>
      </w:r>
    </w:p>
  </w:endnote>
  <w:endnote w:type="continuationSeparator" w:id="0">
    <w:p w14:paraId="665AE4BB" w14:textId="77777777" w:rsidR="001E360B" w:rsidRDefault="001E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1A7BA" w14:textId="77777777" w:rsidR="001E360B" w:rsidRDefault="001E360B">
      <w:pPr>
        <w:spacing w:after="0" w:line="240" w:lineRule="auto"/>
      </w:pPr>
      <w:r>
        <w:separator/>
      </w:r>
    </w:p>
  </w:footnote>
  <w:footnote w:type="continuationSeparator" w:id="0">
    <w:p w14:paraId="5984A7A7" w14:textId="77777777" w:rsidR="001E360B" w:rsidRDefault="001E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C963" w14:textId="77777777" w:rsidR="002D3E2F" w:rsidRDefault="002D3E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5D4E"/>
    <w:multiLevelType w:val="multilevel"/>
    <w:tmpl w:val="67DE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474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2F"/>
    <w:rsid w:val="001E360B"/>
    <w:rsid w:val="002D3E2F"/>
    <w:rsid w:val="00644829"/>
    <w:rsid w:val="007F7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352C"/>
  <w15:docId w15:val="{9FF2B898-535E-45FB-B323-2B3D25DD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ena.pastor@alabra.es" TargetMode="External"/><Relationship Id="rId5" Type="http://schemas.openxmlformats.org/officeDocument/2006/relationships/webSettings" Target="webSettings.xml"/><Relationship Id="rId10" Type="http://schemas.openxmlformats.org/officeDocument/2006/relationships/hyperlink" Target="mailto:carolina.lopez@alabra.es" TargetMode="External"/><Relationship Id="rId4" Type="http://schemas.openxmlformats.org/officeDocument/2006/relationships/settings" Target="settings.xml"/><Relationship Id="rId9" Type="http://schemas.openxmlformats.org/officeDocument/2006/relationships/hyperlink" Target="https://www.aepnaa.org/recursos/aepnaa/pdf/protocolo.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pEQbQiWU9x5dfG+wJI2wAxKiQ==">CgMxLjA4AHIhMXdScmFTRHpWV0JDLU43c2FzeTVPZDdnRmdoSnYyQlM0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3372</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10-JAG-IS-LB-VM-CL</cp:lastModifiedBy>
  <cp:revision>2</cp:revision>
  <dcterms:created xsi:type="dcterms:W3CDTF">2024-09-26T07:23:00Z</dcterms:created>
  <dcterms:modified xsi:type="dcterms:W3CDTF">2024-09-26T07:23:00Z</dcterms:modified>
</cp:coreProperties>
</file>