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A49D4" w14:textId="77777777" w:rsidR="00C629AF" w:rsidRDefault="00443CA8">
      <w:pPr>
        <w:spacing w:after="0" w:line="240" w:lineRule="auto"/>
        <w:rPr>
          <w:rFonts w:ascii="Arial" w:eastAsia="Arial" w:hAnsi="Arial" w:cs="Arial"/>
          <w:b/>
          <w:sz w:val="28"/>
          <w:szCs w:val="28"/>
        </w:rPr>
      </w:pPr>
      <w:r>
        <w:rPr>
          <w:rFonts w:ascii="Arial" w:eastAsia="Arial" w:hAnsi="Arial" w:cs="Arial"/>
          <w:b/>
          <w:noProof/>
          <w:sz w:val="28"/>
          <w:szCs w:val="28"/>
        </w:rPr>
        <w:drawing>
          <wp:anchor distT="0" distB="0" distL="114300" distR="114300" simplePos="0" relativeHeight="251658240" behindDoc="0" locked="0" layoutInCell="1" hidden="0" allowOverlap="1" wp14:anchorId="7C16CD96" wp14:editId="11DA00A9">
            <wp:simplePos x="0" y="0"/>
            <wp:positionH relativeFrom="margin">
              <wp:posOffset>5248275</wp:posOffset>
            </wp:positionH>
            <wp:positionV relativeFrom="margin">
              <wp:posOffset>-857249</wp:posOffset>
            </wp:positionV>
            <wp:extent cx="1196340" cy="132080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196340" cy="1320800"/>
                    </a:xfrm>
                    <a:prstGeom prst="rect">
                      <a:avLst/>
                    </a:prstGeom>
                    <a:ln/>
                  </pic:spPr>
                </pic:pic>
              </a:graphicData>
            </a:graphic>
          </wp:anchor>
        </w:drawing>
      </w:r>
    </w:p>
    <w:p w14:paraId="668EFF5D" w14:textId="77777777" w:rsidR="00C629AF" w:rsidRDefault="00C629AF">
      <w:pPr>
        <w:spacing w:after="0" w:line="240" w:lineRule="auto"/>
        <w:rPr>
          <w:rFonts w:ascii="Arial" w:eastAsia="Arial" w:hAnsi="Arial" w:cs="Arial"/>
          <w:b/>
          <w:i/>
          <w:sz w:val="24"/>
          <w:szCs w:val="24"/>
        </w:rPr>
      </w:pPr>
    </w:p>
    <w:p w14:paraId="16E77937" w14:textId="77777777" w:rsidR="00C629AF" w:rsidRDefault="00443CA8">
      <w:pPr>
        <w:spacing w:after="0" w:line="240" w:lineRule="auto"/>
        <w:jc w:val="center"/>
        <w:rPr>
          <w:rFonts w:ascii="Arial" w:eastAsia="Arial" w:hAnsi="Arial" w:cs="Arial"/>
          <w:b/>
          <w:sz w:val="21"/>
          <w:szCs w:val="21"/>
          <w:u w:val="single"/>
        </w:rPr>
      </w:pPr>
      <w:r>
        <w:rPr>
          <w:rFonts w:ascii="Arial" w:eastAsia="Arial" w:hAnsi="Arial" w:cs="Arial"/>
          <w:b/>
          <w:sz w:val="21"/>
          <w:szCs w:val="21"/>
          <w:u w:val="single"/>
        </w:rPr>
        <w:t xml:space="preserve">Un reciente estudio de la SEAIC sobre los hábitos alimenticios de abejas y avispas </w:t>
      </w:r>
    </w:p>
    <w:p w14:paraId="4921F212" w14:textId="77777777" w:rsidR="00C629AF" w:rsidRDefault="00C629AF">
      <w:pPr>
        <w:spacing w:after="0"/>
        <w:rPr>
          <w:rFonts w:ascii="Arial" w:eastAsia="Arial" w:hAnsi="Arial" w:cs="Arial"/>
          <w:b/>
          <w:sz w:val="28"/>
          <w:szCs w:val="28"/>
        </w:rPr>
      </w:pPr>
    </w:p>
    <w:p w14:paraId="36507422" w14:textId="77777777" w:rsidR="00C629AF" w:rsidRDefault="00443CA8">
      <w:pPr>
        <w:spacing w:after="0"/>
        <w:jc w:val="center"/>
        <w:rPr>
          <w:rFonts w:ascii="Arial" w:eastAsia="Arial" w:hAnsi="Arial" w:cs="Arial"/>
          <w:b/>
          <w:sz w:val="28"/>
          <w:szCs w:val="28"/>
        </w:rPr>
      </w:pPr>
      <w:r>
        <w:rPr>
          <w:rFonts w:ascii="Arial" w:eastAsia="Arial" w:hAnsi="Arial" w:cs="Arial"/>
          <w:b/>
          <w:sz w:val="28"/>
          <w:szCs w:val="28"/>
        </w:rPr>
        <w:t>Revela un nuevo método de identificación para conocer qué himenóptero ha provocado una reacción alérgica en un paciente</w:t>
      </w:r>
    </w:p>
    <w:p w14:paraId="4783FCCA" w14:textId="77777777" w:rsidR="00C629AF" w:rsidRDefault="00C629AF">
      <w:pPr>
        <w:spacing w:after="0"/>
        <w:rPr>
          <w:rFonts w:ascii="Arial" w:eastAsia="Arial" w:hAnsi="Arial" w:cs="Arial"/>
          <w:b/>
          <w:sz w:val="28"/>
          <w:szCs w:val="28"/>
        </w:rPr>
      </w:pPr>
    </w:p>
    <w:p w14:paraId="2D85B351" w14:textId="77777777" w:rsidR="00C629AF" w:rsidRDefault="00443CA8">
      <w:pPr>
        <w:numPr>
          <w:ilvl w:val="0"/>
          <w:numId w:val="1"/>
        </w:numPr>
        <w:tabs>
          <w:tab w:val="center" w:pos="4252"/>
          <w:tab w:val="right" w:pos="8504"/>
        </w:tabs>
        <w:spacing w:after="0" w:line="259" w:lineRule="auto"/>
        <w:jc w:val="both"/>
        <w:rPr>
          <w:rFonts w:ascii="Arial" w:eastAsia="Arial" w:hAnsi="Arial" w:cs="Arial"/>
          <w:b/>
        </w:rPr>
      </w:pPr>
      <w:r>
        <w:rPr>
          <w:rFonts w:ascii="Arial" w:eastAsia="Arial" w:hAnsi="Arial" w:cs="Arial"/>
          <w:b/>
        </w:rPr>
        <w:t>La dificultad de los pacientes para reconocer el alérgeno responsable y la positividad a varios venenos en las pruebas diagnósticas reducen la eficacia del tratamiento.</w:t>
      </w:r>
    </w:p>
    <w:p w14:paraId="7D3CED69" w14:textId="77777777" w:rsidR="00C629AF" w:rsidRDefault="00443CA8">
      <w:pPr>
        <w:numPr>
          <w:ilvl w:val="0"/>
          <w:numId w:val="1"/>
        </w:numPr>
        <w:tabs>
          <w:tab w:val="center" w:pos="4252"/>
          <w:tab w:val="right" w:pos="8504"/>
        </w:tabs>
        <w:spacing w:after="0" w:line="259" w:lineRule="auto"/>
        <w:jc w:val="both"/>
        <w:rPr>
          <w:rFonts w:ascii="Arial" w:eastAsia="Arial" w:hAnsi="Arial" w:cs="Arial"/>
          <w:b/>
        </w:rPr>
      </w:pPr>
      <w:r>
        <w:rPr>
          <w:rFonts w:ascii="Arial" w:eastAsia="Arial" w:hAnsi="Arial" w:cs="Arial"/>
          <w:b/>
        </w:rPr>
        <w:t>El estudio de los hábitos alimenticios de abejas y avispas ha permitido ofrecer un nuevo método de identificación.</w:t>
      </w:r>
    </w:p>
    <w:p w14:paraId="256CBDD2" w14:textId="77777777" w:rsidR="00C629AF" w:rsidRDefault="00443CA8">
      <w:pPr>
        <w:numPr>
          <w:ilvl w:val="0"/>
          <w:numId w:val="1"/>
        </w:numPr>
        <w:tabs>
          <w:tab w:val="center" w:pos="4252"/>
          <w:tab w:val="right" w:pos="8504"/>
        </w:tabs>
        <w:spacing w:line="259" w:lineRule="auto"/>
        <w:jc w:val="both"/>
        <w:rPr>
          <w:rFonts w:ascii="Arial" w:eastAsia="Arial" w:hAnsi="Arial" w:cs="Arial"/>
          <w:b/>
        </w:rPr>
      </w:pPr>
      <w:r>
        <w:rPr>
          <w:rFonts w:ascii="Arial" w:eastAsia="Arial" w:hAnsi="Arial" w:cs="Arial"/>
          <w:b/>
        </w:rPr>
        <w:t>La alergología de precisión mejora el diagnóstico y el tratamiento de la alergia a himenópteros.</w:t>
      </w:r>
    </w:p>
    <w:p w14:paraId="57BAF1B0" w14:textId="641A414E" w:rsidR="00C629AF" w:rsidRDefault="00443CA8">
      <w:pPr>
        <w:shd w:val="clear" w:color="auto" w:fill="FFFFFF"/>
        <w:spacing w:before="240" w:after="160"/>
        <w:jc w:val="both"/>
        <w:rPr>
          <w:rFonts w:ascii="Arial" w:eastAsia="Arial" w:hAnsi="Arial" w:cs="Arial"/>
          <w:b/>
          <w:sz w:val="24"/>
          <w:szCs w:val="24"/>
        </w:rPr>
      </w:pPr>
      <w:r>
        <w:rPr>
          <w:rFonts w:ascii="Arial" w:eastAsia="Arial" w:hAnsi="Arial" w:cs="Arial"/>
          <w:b/>
          <w:sz w:val="24"/>
          <w:szCs w:val="24"/>
        </w:rPr>
        <w:t xml:space="preserve">Madrid, </w:t>
      </w:r>
      <w:r w:rsidR="00D35AF8">
        <w:rPr>
          <w:rFonts w:ascii="Arial" w:eastAsia="Arial" w:hAnsi="Arial" w:cs="Arial"/>
          <w:b/>
          <w:sz w:val="24"/>
          <w:szCs w:val="24"/>
        </w:rPr>
        <w:t>1</w:t>
      </w:r>
      <w:r>
        <w:rPr>
          <w:rFonts w:ascii="Arial" w:eastAsia="Arial" w:hAnsi="Arial" w:cs="Arial"/>
          <w:b/>
          <w:sz w:val="24"/>
          <w:szCs w:val="24"/>
        </w:rPr>
        <w:t xml:space="preserve"> de agosto de 2024.- </w:t>
      </w:r>
      <w:r>
        <w:rPr>
          <w:rFonts w:ascii="Arial" w:eastAsia="Arial" w:hAnsi="Arial" w:cs="Arial"/>
          <w:sz w:val="24"/>
          <w:szCs w:val="24"/>
        </w:rPr>
        <w:t xml:space="preserve">La eficacia del tratamiento de protección frente a las picaduras de himenópteros depende de un correcto diagnóstico. Ante una situación en la que hasta un 42% de los pacientes identifica el alérgeno responsable erróneamente y más de la mitad de las pruebas diagnósticas no son concluyentes (61,5%), conocer la historia clínica resulta fundamental. Por ello, el </w:t>
      </w:r>
      <w:r>
        <w:rPr>
          <w:rFonts w:ascii="Arial" w:eastAsia="Arial" w:hAnsi="Arial" w:cs="Arial"/>
          <w:b/>
          <w:sz w:val="24"/>
          <w:szCs w:val="24"/>
        </w:rPr>
        <w:t>Comité de Alergia a Himenópteros de la Sociedad Española de Alergología e Inmunología Clínica (SEAIC)</w:t>
      </w:r>
      <w:r>
        <w:rPr>
          <w:rFonts w:ascii="Arial" w:eastAsia="Arial" w:hAnsi="Arial" w:cs="Arial"/>
          <w:sz w:val="24"/>
          <w:szCs w:val="24"/>
        </w:rPr>
        <w:t xml:space="preserve"> ha analizado en un reciente estudio la probabilidad de identificar un himenóptero dependiendo del entorno alimentario en el que se encontrase la persona picada.</w:t>
      </w:r>
    </w:p>
    <w:p w14:paraId="39D6C2F5" w14:textId="77777777" w:rsidR="00C629AF" w:rsidRDefault="00443CA8">
      <w:pPr>
        <w:shd w:val="clear" w:color="auto" w:fill="FFFFFF"/>
        <w:spacing w:before="240" w:after="160"/>
        <w:jc w:val="both"/>
        <w:rPr>
          <w:rFonts w:ascii="Arial" w:eastAsia="Arial" w:hAnsi="Arial" w:cs="Arial"/>
          <w:sz w:val="24"/>
          <w:szCs w:val="24"/>
        </w:rPr>
      </w:pPr>
      <w:r>
        <w:rPr>
          <w:rFonts w:ascii="Arial" w:eastAsia="Arial" w:hAnsi="Arial" w:cs="Arial"/>
          <w:i/>
          <w:sz w:val="24"/>
          <w:szCs w:val="24"/>
        </w:rPr>
        <w:t>“Reconocer el alérgeno, es decir, el insecto responsable de la picadura, es una de las principales complicaciones. Incluso las pruebas diagnósticas realizadas por el alergólogo pueden no ser concluyentes, ya que la composición común de los venenos de abejas y avispas puede provocar resultados positivos frente a ambos, aunque solo uno haya sido el responsable de la reacción alérgica”</w:t>
      </w:r>
      <w:r>
        <w:rPr>
          <w:rFonts w:ascii="Arial" w:eastAsia="Arial" w:hAnsi="Arial" w:cs="Arial"/>
          <w:sz w:val="24"/>
          <w:szCs w:val="24"/>
        </w:rPr>
        <w:t xml:space="preserve">, explica el </w:t>
      </w:r>
      <w:r>
        <w:rPr>
          <w:rFonts w:ascii="Arial" w:eastAsia="Arial" w:hAnsi="Arial" w:cs="Arial"/>
          <w:b/>
          <w:sz w:val="24"/>
          <w:szCs w:val="24"/>
        </w:rPr>
        <w:t>Dr. David González de Olano</w:t>
      </w:r>
      <w:r>
        <w:rPr>
          <w:rFonts w:ascii="Arial" w:eastAsia="Arial" w:hAnsi="Arial" w:cs="Arial"/>
          <w:sz w:val="24"/>
          <w:szCs w:val="24"/>
        </w:rPr>
        <w:t xml:space="preserve">, </w:t>
      </w:r>
      <w:r>
        <w:rPr>
          <w:rFonts w:ascii="Arial" w:eastAsia="Arial" w:hAnsi="Arial" w:cs="Arial"/>
          <w:b/>
          <w:sz w:val="24"/>
          <w:szCs w:val="24"/>
        </w:rPr>
        <w:t>presidente de mencionado comité de la SEAIC.</w:t>
      </w:r>
    </w:p>
    <w:p w14:paraId="7F01F88F" w14:textId="77777777" w:rsidR="00C629AF" w:rsidRDefault="00443CA8">
      <w:pPr>
        <w:shd w:val="clear" w:color="auto" w:fill="FFFFFF"/>
        <w:spacing w:before="240" w:after="160"/>
        <w:jc w:val="both"/>
        <w:rPr>
          <w:rFonts w:ascii="Arial" w:eastAsia="Arial" w:hAnsi="Arial" w:cs="Arial"/>
          <w:sz w:val="24"/>
          <w:szCs w:val="24"/>
        </w:rPr>
      </w:pPr>
      <w:r>
        <w:rPr>
          <w:rFonts w:ascii="Arial" w:eastAsia="Arial" w:hAnsi="Arial" w:cs="Arial"/>
          <w:sz w:val="24"/>
          <w:szCs w:val="24"/>
        </w:rPr>
        <w:t>El cambio climático y las altas temperaturas están provocando un aumento de los casos de picaduras de himenópteros, pues han derivado en un mayor tiempo de vida de estos insectos y en la llegada de nuevas especies a determinadas zonas. Todo ello, se traduce en un incremento de los pacientes alérgicos a picaduras, siendo el momento de superar el reto de la dificultad de identificación del insecto responsable de la reacción.</w:t>
      </w:r>
      <w:r>
        <w:rPr>
          <w:rFonts w:ascii="Arial" w:eastAsia="Arial" w:hAnsi="Arial" w:cs="Arial"/>
          <w:i/>
          <w:sz w:val="24"/>
          <w:szCs w:val="24"/>
        </w:rPr>
        <w:t>“Con la investigación realizada, hemos conseguido ofrecer un nuevo método de identificación. Se ha concluido que la Vespula es el principal himenóptero asociado a ambientes alimentarios, siendo la probabilidad de que se trate del insecto responsable de la picadura en un 89%  de los casos”</w:t>
      </w:r>
      <w:r>
        <w:rPr>
          <w:rFonts w:ascii="Arial" w:eastAsia="Arial" w:hAnsi="Arial" w:cs="Arial"/>
          <w:sz w:val="24"/>
          <w:szCs w:val="24"/>
        </w:rPr>
        <w:t xml:space="preserve">, señala la </w:t>
      </w:r>
      <w:r>
        <w:rPr>
          <w:rFonts w:ascii="Arial" w:eastAsia="Arial" w:hAnsi="Arial" w:cs="Arial"/>
          <w:b/>
          <w:sz w:val="24"/>
          <w:szCs w:val="24"/>
        </w:rPr>
        <w:t>Dra. Arantza Vega,</w:t>
      </w:r>
      <w:r>
        <w:rPr>
          <w:rFonts w:ascii="Arial" w:eastAsia="Arial" w:hAnsi="Arial" w:cs="Arial"/>
          <w:sz w:val="24"/>
          <w:szCs w:val="24"/>
        </w:rPr>
        <w:t xml:space="preserve"> miembro del comité.</w:t>
      </w:r>
    </w:p>
    <w:p w14:paraId="09A971B3" w14:textId="77777777" w:rsidR="00C629AF" w:rsidRDefault="00443CA8">
      <w:pPr>
        <w:shd w:val="clear" w:color="auto" w:fill="FFFFFF"/>
        <w:spacing w:before="240" w:after="160"/>
        <w:jc w:val="both"/>
        <w:rPr>
          <w:rFonts w:ascii="Arial" w:eastAsia="Arial" w:hAnsi="Arial" w:cs="Arial"/>
          <w:sz w:val="24"/>
          <w:szCs w:val="24"/>
        </w:rPr>
      </w:pPr>
      <w:r>
        <w:rPr>
          <w:rFonts w:ascii="Arial" w:eastAsia="Arial" w:hAnsi="Arial" w:cs="Arial"/>
          <w:sz w:val="24"/>
          <w:szCs w:val="24"/>
        </w:rPr>
        <w:lastRenderedPageBreak/>
        <w:t>Por su parte, la alergología de precisión lleva el diagnóstico un paso más allá, al permitir identificar a qué alérgenos dentro del propio insecto se presenta la alergia.</w:t>
      </w:r>
      <w:r>
        <w:rPr>
          <w:rFonts w:ascii="Arial" w:eastAsia="Arial" w:hAnsi="Arial" w:cs="Arial"/>
          <w:i/>
          <w:sz w:val="24"/>
          <w:szCs w:val="24"/>
        </w:rPr>
        <w:t xml:space="preserve"> “Esto tiene su importancia porque hay alérgenos que se sabe que son de mayor riesgo que otros y porque no todos los alérgenos están en igual presencia en las inmunoterapias”</w:t>
      </w:r>
      <w:r>
        <w:rPr>
          <w:rFonts w:ascii="Arial" w:eastAsia="Arial" w:hAnsi="Arial" w:cs="Arial"/>
          <w:sz w:val="24"/>
          <w:szCs w:val="24"/>
        </w:rPr>
        <w:t xml:space="preserve">, indica el </w:t>
      </w:r>
      <w:r>
        <w:rPr>
          <w:rFonts w:ascii="Arial" w:eastAsia="Arial" w:hAnsi="Arial" w:cs="Arial"/>
          <w:b/>
          <w:sz w:val="24"/>
          <w:szCs w:val="24"/>
        </w:rPr>
        <w:t>Dr. González</w:t>
      </w:r>
      <w:r>
        <w:rPr>
          <w:rFonts w:ascii="Arial" w:eastAsia="Arial" w:hAnsi="Arial" w:cs="Arial"/>
          <w:sz w:val="24"/>
          <w:szCs w:val="24"/>
        </w:rPr>
        <w:t xml:space="preserve">. Además, esta práctica innovadora ha permitido desarrollar vacunas para minimizar o prevenir las reacciones alérgicas graves. </w:t>
      </w:r>
    </w:p>
    <w:p w14:paraId="447B9B4C" w14:textId="2FA5DCE9" w:rsidR="00C629AF" w:rsidRDefault="00443CA8">
      <w:pPr>
        <w:shd w:val="clear" w:color="auto" w:fill="FFFFFF"/>
        <w:spacing w:before="240" w:after="160"/>
        <w:jc w:val="both"/>
        <w:rPr>
          <w:rFonts w:ascii="Arial" w:eastAsia="Arial" w:hAnsi="Arial" w:cs="Arial"/>
          <w:sz w:val="24"/>
          <w:szCs w:val="24"/>
        </w:rPr>
      </w:pPr>
      <w:r>
        <w:rPr>
          <w:rFonts w:ascii="Arial" w:eastAsia="Arial" w:hAnsi="Arial" w:cs="Arial"/>
          <w:sz w:val="24"/>
          <w:szCs w:val="24"/>
        </w:rPr>
        <w:t>Una vez se produce la picadura, los expertos insisten en que lo primero debe ser comprobar si aún se tiene el aguijón clavado, ya que este puede se</w:t>
      </w:r>
      <w:r w:rsidR="00627F00">
        <w:rPr>
          <w:rFonts w:ascii="Arial" w:eastAsia="Arial" w:hAnsi="Arial" w:cs="Arial"/>
          <w:sz w:val="24"/>
          <w:szCs w:val="24"/>
        </w:rPr>
        <w:t xml:space="preserve">gyur </w:t>
      </w:r>
      <w:r>
        <w:rPr>
          <w:rFonts w:ascii="Arial" w:eastAsia="Arial" w:hAnsi="Arial" w:cs="Arial"/>
          <w:sz w:val="24"/>
          <w:szCs w:val="24"/>
        </w:rPr>
        <w:t>inoculando veneno</w:t>
      </w:r>
      <w:r w:rsidR="00627F00">
        <w:rPr>
          <w:rFonts w:ascii="Arial" w:eastAsia="Arial" w:hAnsi="Arial" w:cs="Arial"/>
          <w:sz w:val="24"/>
          <w:szCs w:val="24"/>
        </w:rPr>
        <w:t xml:space="preserve">. Se debe </w:t>
      </w:r>
      <w:r>
        <w:rPr>
          <w:rFonts w:ascii="Arial" w:eastAsia="Arial" w:hAnsi="Arial" w:cs="Arial"/>
          <w:sz w:val="24"/>
          <w:szCs w:val="24"/>
        </w:rPr>
        <w:t xml:space="preserve">extraerigua y aplicar el tratamiento sintomático pertinente. </w:t>
      </w:r>
      <w:r>
        <w:rPr>
          <w:rFonts w:ascii="Arial" w:eastAsia="Arial" w:hAnsi="Arial" w:cs="Arial"/>
          <w:i/>
          <w:sz w:val="24"/>
          <w:szCs w:val="24"/>
        </w:rPr>
        <w:t>“Cuando los síntomas han sido de una anafilaxia y ha sido valorado por un alergólogo, es muy probable que al paciente se le recomiende el llevar un autoinyector de adrenalina. Y después de hecho el diagnóstico, el tratamiento específico es la inmunoterapia, que es el único que puede curar y evitar nuevas reacciones”</w:t>
      </w:r>
      <w:r>
        <w:rPr>
          <w:rFonts w:ascii="Arial" w:eastAsia="Arial" w:hAnsi="Arial" w:cs="Arial"/>
          <w:sz w:val="24"/>
          <w:szCs w:val="24"/>
        </w:rPr>
        <w:t>, concluye el presidente del comité.</w:t>
      </w:r>
    </w:p>
    <w:p w14:paraId="55018016" w14:textId="77777777" w:rsidR="00C629AF" w:rsidRDefault="00C629AF">
      <w:pPr>
        <w:shd w:val="clear" w:color="auto" w:fill="FFFFFF"/>
        <w:spacing w:before="240" w:after="240"/>
        <w:jc w:val="both"/>
        <w:rPr>
          <w:rFonts w:ascii="Arial" w:eastAsia="Arial" w:hAnsi="Arial" w:cs="Arial"/>
          <w:sz w:val="24"/>
          <w:szCs w:val="24"/>
        </w:rPr>
      </w:pPr>
    </w:p>
    <w:p w14:paraId="359B9ECA" w14:textId="77777777" w:rsidR="00C629AF" w:rsidRDefault="00443CA8">
      <w:pPr>
        <w:shd w:val="clear" w:color="auto" w:fill="FFFFFF"/>
        <w:spacing w:before="240" w:after="160"/>
        <w:jc w:val="both"/>
        <w:rPr>
          <w:rFonts w:ascii="Arial" w:eastAsia="Arial" w:hAnsi="Arial" w:cs="Arial"/>
          <w:b/>
        </w:rPr>
      </w:pPr>
      <w:r>
        <w:rPr>
          <w:rFonts w:ascii="Arial" w:eastAsia="Arial" w:hAnsi="Arial" w:cs="Arial"/>
          <w:b/>
        </w:rPr>
        <w:t>*Para más información</w:t>
      </w:r>
    </w:p>
    <w:p w14:paraId="2E277A35" w14:textId="77777777" w:rsidR="00C629AF" w:rsidRDefault="00443CA8">
      <w:pPr>
        <w:spacing w:before="240" w:after="0"/>
        <w:jc w:val="both"/>
        <w:rPr>
          <w:rFonts w:ascii="Arial" w:eastAsia="Arial" w:hAnsi="Arial" w:cs="Arial"/>
          <w:b/>
        </w:rPr>
      </w:pPr>
      <w:r>
        <w:rPr>
          <w:rFonts w:ascii="Arial" w:eastAsia="Arial" w:hAnsi="Arial" w:cs="Arial"/>
          <w:b/>
        </w:rPr>
        <w:t>ALABRA / 91 789 14 59</w:t>
      </w:r>
    </w:p>
    <w:p w14:paraId="3B882064" w14:textId="77777777" w:rsidR="00C629AF" w:rsidRDefault="00443CA8">
      <w:pPr>
        <w:spacing w:before="240" w:after="0"/>
        <w:jc w:val="both"/>
        <w:rPr>
          <w:rFonts w:ascii="Arial" w:eastAsia="Arial" w:hAnsi="Arial" w:cs="Arial"/>
          <w:b/>
          <w:color w:val="0000FF"/>
        </w:rPr>
      </w:pPr>
      <w:r>
        <w:rPr>
          <w:rFonts w:ascii="Arial" w:eastAsia="Arial" w:hAnsi="Arial" w:cs="Arial"/>
          <w:b/>
        </w:rPr>
        <w:t xml:space="preserve">Carolina López </w:t>
      </w:r>
      <w:hyperlink r:id="rId9">
        <w:r>
          <w:rPr>
            <w:rFonts w:ascii="Arial" w:eastAsia="Arial" w:hAnsi="Arial" w:cs="Arial"/>
            <w:b/>
            <w:color w:val="1155CC"/>
            <w:u w:val="single"/>
          </w:rPr>
          <w:t>carolina.lopez@alabra.es</w:t>
        </w:r>
      </w:hyperlink>
    </w:p>
    <w:p w14:paraId="704F6DB3" w14:textId="77777777" w:rsidR="00C629AF" w:rsidRDefault="00443CA8">
      <w:pPr>
        <w:spacing w:before="240" w:after="0"/>
        <w:jc w:val="both"/>
        <w:rPr>
          <w:rFonts w:ascii="Arial" w:eastAsia="Arial" w:hAnsi="Arial" w:cs="Arial"/>
          <w:b/>
          <w:color w:val="0000FF"/>
        </w:rPr>
      </w:pPr>
      <w:r>
        <w:rPr>
          <w:rFonts w:ascii="Arial" w:eastAsia="Arial" w:hAnsi="Arial" w:cs="Arial"/>
          <w:b/>
        </w:rPr>
        <w:t xml:space="preserve">Helena Pastor </w:t>
      </w:r>
      <w:hyperlink r:id="rId10">
        <w:r>
          <w:rPr>
            <w:rFonts w:ascii="Arial" w:eastAsia="Arial" w:hAnsi="Arial" w:cs="Arial"/>
            <w:b/>
            <w:color w:val="1155CC"/>
            <w:u w:val="single"/>
          </w:rPr>
          <w:t>helena.pastor@alabra.es</w:t>
        </w:r>
      </w:hyperlink>
    </w:p>
    <w:p w14:paraId="32304FE8" w14:textId="77777777" w:rsidR="00C629AF" w:rsidRDefault="00C629AF">
      <w:pPr>
        <w:spacing w:before="240" w:after="0"/>
        <w:jc w:val="both"/>
        <w:rPr>
          <w:rFonts w:ascii="Arial" w:eastAsia="Arial" w:hAnsi="Arial" w:cs="Arial"/>
          <w:b/>
          <w:color w:val="0000FF"/>
        </w:rPr>
      </w:pPr>
    </w:p>
    <w:p w14:paraId="02765612" w14:textId="77777777" w:rsidR="00C629AF" w:rsidRDefault="00443CA8">
      <w:pPr>
        <w:spacing w:before="240" w:after="0"/>
        <w:jc w:val="both"/>
        <w:rPr>
          <w:rFonts w:ascii="Arial" w:eastAsia="Arial" w:hAnsi="Arial" w:cs="Arial"/>
          <w:b/>
        </w:rPr>
      </w:pPr>
      <w:r>
        <w:rPr>
          <w:rFonts w:ascii="Arial" w:eastAsia="Arial" w:hAnsi="Arial" w:cs="Arial"/>
          <w:b/>
        </w:rPr>
        <w:t xml:space="preserve"> </w:t>
      </w:r>
    </w:p>
    <w:p w14:paraId="10D09B67" w14:textId="77777777" w:rsidR="00C629AF" w:rsidRDefault="00443CA8">
      <w:pPr>
        <w:spacing w:before="240" w:after="0"/>
        <w:jc w:val="both"/>
        <w:rPr>
          <w:rFonts w:ascii="Arial" w:eastAsia="Arial" w:hAnsi="Arial" w:cs="Arial"/>
        </w:rPr>
      </w:pPr>
      <w:r>
        <w:rPr>
          <w:rFonts w:ascii="Arial" w:eastAsia="Arial" w:hAnsi="Arial" w:cs="Arial"/>
        </w:rPr>
        <w:t xml:space="preserve"> </w:t>
      </w:r>
    </w:p>
    <w:p w14:paraId="2DE66E00" w14:textId="77777777" w:rsidR="00C629AF" w:rsidRDefault="00C629AF">
      <w:pPr>
        <w:spacing w:after="0"/>
        <w:jc w:val="both"/>
        <w:rPr>
          <w:rFonts w:ascii="Arial" w:eastAsia="Arial" w:hAnsi="Arial" w:cs="Arial"/>
        </w:rPr>
      </w:pPr>
    </w:p>
    <w:sectPr w:rsidR="00C629AF">
      <w:headerReference w:type="default" r:id="rId11"/>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4EFC2" w14:textId="77777777" w:rsidR="00443CA8" w:rsidRDefault="00443CA8">
      <w:pPr>
        <w:spacing w:after="0" w:line="240" w:lineRule="auto"/>
      </w:pPr>
      <w:r>
        <w:separator/>
      </w:r>
    </w:p>
  </w:endnote>
  <w:endnote w:type="continuationSeparator" w:id="0">
    <w:p w14:paraId="5C310835" w14:textId="77777777" w:rsidR="00443CA8" w:rsidRDefault="00443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2DCB8" w14:textId="77777777" w:rsidR="00443CA8" w:rsidRDefault="00443CA8">
      <w:pPr>
        <w:spacing w:after="0" w:line="240" w:lineRule="auto"/>
      </w:pPr>
      <w:r>
        <w:separator/>
      </w:r>
    </w:p>
  </w:footnote>
  <w:footnote w:type="continuationSeparator" w:id="0">
    <w:p w14:paraId="5E482B98" w14:textId="77777777" w:rsidR="00443CA8" w:rsidRDefault="00443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CB4C2" w14:textId="77777777" w:rsidR="00C629AF" w:rsidRDefault="00C629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947A60"/>
    <w:multiLevelType w:val="multilevel"/>
    <w:tmpl w:val="2DC415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39560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9AF"/>
    <w:rsid w:val="00443CA8"/>
    <w:rsid w:val="00627F00"/>
    <w:rsid w:val="00C629AF"/>
    <w:rsid w:val="00D35AF8"/>
    <w:rsid w:val="00ED47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E5665"/>
  <w15:docId w15:val="{212BA972-E015-4CA4-AD30-4C16F5CD7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elena.pastor@alabra.es" TargetMode="External"/><Relationship Id="rId4" Type="http://schemas.openxmlformats.org/officeDocument/2006/relationships/settings" Target="settings.xml"/><Relationship Id="rId9" Type="http://schemas.openxmlformats.org/officeDocument/2006/relationships/hyperlink" Target="mailto:carolina.lopez@alabra.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381lGDOa6JH95RARFD3Ni1TfVQ==">CgMxLjA4AGosChRzdWdnZXN0LjN6aWticGxyN3BraxIUSGVsZW5hIFBhc3RvciBDYW1wb3lqLAoUc3VnZ2VzdC5tbHZ4dmZ2MWdoN2ESFEhlbGVuYSBQYXN0b3IgQ2FtcG95aiwKFHN1Z2dlc3QuODBoa2R1czNxa25nEhRIZWxlbmEgUGFzdG9yIENhbXBveWosChRzdWdnZXN0Lmx0M2l3MnYxczlhaBIUSGVsZW5hIFBhc3RvciBDYW1wb3lqLAoUc3VnZ2VzdC5oMHV2am53YjA2cHASFEhlbGVuYSBQYXN0b3IgQ2FtcG95ciExaUdFTWhHYlRvbEhoRk5YQnZPSmxkSncwOS1KekdXU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584</Words>
  <Characters>3216</Characters>
  <Application>Microsoft Office Word</Application>
  <DocSecurity>0</DocSecurity>
  <Lines>26</Lines>
  <Paragraphs>7</Paragraphs>
  <ScaleCrop>false</ScaleCrop>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HelenaPastor</cp:lastModifiedBy>
  <cp:revision>5</cp:revision>
  <dcterms:created xsi:type="dcterms:W3CDTF">2024-08-01T07:51:00Z</dcterms:created>
  <dcterms:modified xsi:type="dcterms:W3CDTF">2024-08-01T07:55:00Z</dcterms:modified>
</cp:coreProperties>
</file>