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Fonts w:ascii="Arial" w:cs="Arial" w:eastAsia="Arial" w:hAnsi="Arial"/>
          <w:b w:val="1"/>
          <w:sz w:val="21"/>
          <w:szCs w:val="21"/>
          <w:u w:val="single"/>
          <w:rtl w:val="0"/>
        </w:rPr>
        <w:t xml:space="preserve">En la Semana Mundial de la Alergia, la SEAIC anuncia que</w:t>
      </w:r>
      <w:r w:rsidDel="00000000" w:rsidR="00000000" w:rsidRPr="00000000">
        <w:rPr>
          <w:rFonts w:ascii="Arial" w:cs="Arial" w:eastAsia="Arial" w:hAnsi="Arial"/>
          <w:b w:val="1"/>
          <w:sz w:val="21"/>
          <w:szCs w:val="21"/>
          <w:u w:val="single"/>
        </w:rPr>
        <w:drawing>
          <wp:anchor allowOverlap="1" behindDoc="0" distB="0" distT="0" distL="114300" distR="114300" hidden="0" layoutInCell="1" locked="0" relativeHeight="0" simplePos="0">
            <wp:simplePos x="0" y="0"/>
            <wp:positionH relativeFrom="margin">
              <wp:posOffset>5193665</wp:posOffset>
            </wp:positionH>
            <wp:positionV relativeFrom="margin">
              <wp:posOffset>-810887</wp:posOffset>
            </wp:positionV>
            <wp:extent cx="1196340" cy="13208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6340" cy="13208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 MOTIVO DE LOS CAMBIOS DIETÉTICOS DE LA POBLACIÓN SE ESTÁN DETECTANDO NUEVAS ALERGIAS A ALIMENTOS</w:t>
      </w:r>
    </w:p>
    <w:p w:rsidR="00000000" w:rsidDel="00000000" w:rsidP="00000000" w:rsidRDefault="00000000" w:rsidRPr="00000000" w14:paraId="00000006">
      <w:pPr>
        <w:numPr>
          <w:ilvl w:val="0"/>
          <w:numId w:val="1"/>
        </w:numPr>
        <w:spacing w:after="0" w:afterAutospacing="0" w:befor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Las investigaciones actuales buscan mejorar la precisión diagnóstica y desarrollar nuevas opciones terapéuticas para los pacientes con alergia a alimentos.</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Gracias a la alergología de precisión, el especialista puede ofrecer estrategias óptimas a cada paciente, según la alergia alimentaria que tenga y su gravedad.</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Prevenir la alergia a alimentos desde la infancia sigue siendo todo un reto: los expertos siguen estudiando si la introducción temprana puede ser la solución.</w:t>
      </w:r>
    </w:p>
    <w:p w:rsidR="00000000" w:rsidDel="00000000" w:rsidP="00000000" w:rsidRDefault="00000000" w:rsidRPr="00000000" w14:paraId="00000009">
      <w:pPr>
        <w:numPr>
          <w:ilvl w:val="0"/>
          <w:numId w:val="1"/>
        </w:numPr>
        <w:spacing w:after="240" w:before="0" w:beforeAutospacing="0" w:lineRule="auto"/>
        <w:ind w:left="720"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Los casos de anafilaxia por alergia a alimentos siguen siendo altos tanto en población pediátrica como en adulta. La aparición de nuevas formulaciones de adrenalina alternativas a la inyección supondrá un gran avance para el paciente, sus familiares y cuidadores.</w:t>
      </w:r>
    </w:p>
    <w:p w:rsidR="00000000" w:rsidDel="00000000" w:rsidP="00000000" w:rsidRDefault="00000000" w:rsidRPr="00000000" w14:paraId="0000000A">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Madrid, xx de junio de 2024.- </w:t>
      </w:r>
      <w:r w:rsidDel="00000000" w:rsidR="00000000" w:rsidRPr="00000000">
        <w:rPr>
          <w:rFonts w:ascii="Arial" w:cs="Arial" w:eastAsia="Arial" w:hAnsi="Arial"/>
          <w:sz w:val="24"/>
          <w:szCs w:val="24"/>
          <w:rtl w:val="0"/>
        </w:rPr>
        <w:t xml:space="preserve">Aunque no existen </w:t>
      </w:r>
      <w:r w:rsidDel="00000000" w:rsidR="00000000" w:rsidRPr="00000000">
        <w:rPr>
          <w:rFonts w:ascii="Arial" w:cs="Arial" w:eastAsia="Arial" w:hAnsi="Arial"/>
          <w:sz w:val="24"/>
          <w:szCs w:val="24"/>
          <w:rtl w:val="0"/>
        </w:rPr>
        <w:t xml:space="preserve">estudios poblacionales</w:t>
      </w:r>
      <w:r w:rsidDel="00000000" w:rsidR="00000000" w:rsidRPr="00000000">
        <w:rPr>
          <w:rFonts w:ascii="Arial" w:cs="Arial" w:eastAsia="Arial" w:hAnsi="Arial"/>
          <w:sz w:val="24"/>
          <w:szCs w:val="24"/>
          <w:rtl w:val="0"/>
        </w:rPr>
        <w:t xml:space="preserve"> de prevalencia que demuestren que la frecuencia y la gravedad de la alergia a los alimentos esté aumentando, los cambios dietéticos y la introducción de nuevos alimentos está provocando casos de alergia a esos comestibles. En este contexto, es fundamental continuar investigando nuevas estrategias de abordaje que resuelvan los retos pendientes de este tipo de patología.</w:t>
      </w:r>
    </w:p>
    <w:p w:rsidR="00000000" w:rsidDel="00000000" w:rsidP="00000000" w:rsidRDefault="00000000" w:rsidRPr="00000000" w14:paraId="0000000B">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“El 11% de los pacientes que acuden a la consulta de Alergología lo hacen por sospecha de alergia a alimentos”</w:t>
      </w:r>
      <w:r w:rsidDel="00000000" w:rsidR="00000000" w:rsidRPr="00000000">
        <w:rPr>
          <w:rFonts w:ascii="Arial" w:cs="Arial" w:eastAsia="Arial" w:hAnsi="Arial"/>
          <w:sz w:val="24"/>
          <w:szCs w:val="24"/>
          <w:rtl w:val="0"/>
        </w:rPr>
        <w:t xml:space="preserve"> señala la </w:t>
      </w:r>
      <w:r w:rsidDel="00000000" w:rsidR="00000000" w:rsidRPr="00000000">
        <w:rPr>
          <w:rFonts w:ascii="Arial" w:cs="Arial" w:eastAsia="Arial" w:hAnsi="Arial"/>
          <w:b w:val="1"/>
          <w:sz w:val="24"/>
          <w:szCs w:val="24"/>
          <w:rtl w:val="0"/>
        </w:rPr>
        <w:t xml:space="preserve">Dra. Mª Carmen Diéguez, presidenta del Comité de Alergia a Alimentos de la Sociedad Española de Alergología e Inmunología Clínica (SEAIC)</w:t>
      </w:r>
      <w:r w:rsidDel="00000000" w:rsidR="00000000" w:rsidRPr="00000000">
        <w:rPr>
          <w:rFonts w:ascii="Arial" w:cs="Arial" w:eastAsia="Arial" w:hAnsi="Arial"/>
          <w:sz w:val="24"/>
          <w:szCs w:val="24"/>
          <w:rtl w:val="0"/>
        </w:rPr>
        <w:t xml:space="preserve">. Por ello, los estudios actuales se centran en mejorar la precisión diagnóstica y desarrollar nuevas opciones terapéuticas que alcancen la mayor eficacia posible con los menores efectos adversos. </w:t>
      </w:r>
      <w:r w:rsidDel="00000000" w:rsidR="00000000" w:rsidRPr="00000000">
        <w:rPr>
          <w:rFonts w:ascii="Arial" w:cs="Arial" w:eastAsia="Arial" w:hAnsi="Arial"/>
          <w:i w:val="1"/>
          <w:sz w:val="24"/>
          <w:szCs w:val="24"/>
          <w:rtl w:val="0"/>
        </w:rPr>
        <w:t xml:space="preserve">“Se han explorado diferentes vías para la realización de inmunoterapia con alimentos y la utilización de alimentos procesados en este proceso. También se sigue investigando la administración de diversos tratamientos biológicos que abren la puerta a la posibilidad de la inmunoterapia para los pacientes de perfil más grave y mayor riesgo vital”</w:t>
      </w:r>
      <w:r w:rsidDel="00000000" w:rsidR="00000000" w:rsidRPr="00000000">
        <w:rPr>
          <w:rFonts w:ascii="Arial" w:cs="Arial" w:eastAsia="Arial" w:hAnsi="Arial"/>
          <w:sz w:val="24"/>
          <w:szCs w:val="24"/>
          <w:rtl w:val="0"/>
        </w:rPr>
        <w:t xml:space="preserve">, explica la doctora.</w:t>
      </w:r>
    </w:p>
    <w:p w:rsidR="00000000" w:rsidDel="00000000" w:rsidP="00000000" w:rsidRDefault="00000000" w:rsidRPr="00000000" w14:paraId="0000000C">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alergología de precisión también se plantea como una técnica de vanguardia para el tratamiento de las alergias alimentarias. En este sentido, el alergólogo toma un papel fundamental al ser el especialista capaz de realizar una estratificación del riesgo individual para cada paciente.</w:t>
      </w:r>
      <w:r w:rsidDel="00000000" w:rsidR="00000000" w:rsidRPr="00000000">
        <w:rPr>
          <w:rFonts w:ascii="Arial" w:cs="Arial" w:eastAsia="Arial" w:hAnsi="Arial"/>
          <w:i w:val="1"/>
          <w:sz w:val="24"/>
          <w:szCs w:val="24"/>
          <w:rtl w:val="0"/>
        </w:rPr>
        <w:t xml:space="preserve"> “Solo mediante este planteamiento de la alergología de precisión, el alergólogo podrá ofrecer estrategias óptimas a cada paciente”</w:t>
      </w:r>
      <w:r w:rsidDel="00000000" w:rsidR="00000000" w:rsidRPr="00000000">
        <w:rPr>
          <w:rFonts w:ascii="Arial" w:cs="Arial" w:eastAsia="Arial" w:hAnsi="Arial"/>
          <w:sz w:val="24"/>
          <w:szCs w:val="24"/>
          <w:rtl w:val="0"/>
        </w:rPr>
        <w:t xml:space="preserve">, destaca la presidenta. </w:t>
      </w:r>
    </w:p>
    <w:p w:rsidR="00000000" w:rsidDel="00000000" w:rsidP="00000000" w:rsidRDefault="00000000" w:rsidRPr="00000000" w14:paraId="0000000D">
      <w:pPr>
        <w:shd w:fill="ffffff" w:val="clear"/>
        <w:spacing w:after="16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reto de prevenir la alergia a alimentos desde la infancia</w:t>
      </w:r>
    </w:p>
    <w:p w:rsidR="00000000" w:rsidDel="00000000" w:rsidP="00000000" w:rsidRDefault="00000000" w:rsidRPr="00000000" w14:paraId="0000000E">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Uno de los grandes desafíos de la alergia a los alimentos sigue siendo su prevención en edades más tempranas. Las primeras investigaciones  se centraron en retrasar la introducción de alimentos con mayor potencial alergénico en la dieta de los lactantes, pero esta recomendación no resultó eficaz. </w:t>
      </w:r>
    </w:p>
    <w:p w:rsidR="00000000" w:rsidDel="00000000" w:rsidP="00000000" w:rsidRDefault="00000000" w:rsidRPr="00000000" w14:paraId="0000000F">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Otros estudios demostraron que la introducción precoz de alimentos alergénicos en niños de riesgo de desarrollar alergia a alimentos, disminuía la incidencia de este tipo de alergia mediada por IgE. “</w:t>
      </w:r>
      <w:r w:rsidDel="00000000" w:rsidR="00000000" w:rsidRPr="00000000">
        <w:rPr>
          <w:rFonts w:ascii="Arial" w:cs="Arial" w:eastAsia="Arial" w:hAnsi="Arial"/>
          <w:i w:val="1"/>
          <w:sz w:val="24"/>
          <w:szCs w:val="24"/>
          <w:rtl w:val="0"/>
        </w:rPr>
        <w:t xml:space="preserve">Aunque esto cambió por completo las recomendaciones que se dan en las guías de alimentación complementaria, todavía queda mucho por avanzar en esta estrategia de prevención, ya que desconocemos si esa introducción temprana es extrapolable a todos los alimentos y si no producirá un incremento en la aparición alergia no mediada por IgE”</w:t>
      </w:r>
      <w:r w:rsidDel="00000000" w:rsidR="00000000" w:rsidRPr="00000000">
        <w:rPr>
          <w:rFonts w:ascii="Arial" w:cs="Arial" w:eastAsia="Arial" w:hAnsi="Arial"/>
          <w:sz w:val="24"/>
          <w:szCs w:val="24"/>
          <w:rtl w:val="0"/>
        </w:rPr>
        <w:t xml:space="preserve">, concluye la </w:t>
      </w:r>
      <w:r w:rsidDel="00000000" w:rsidR="00000000" w:rsidRPr="00000000">
        <w:rPr>
          <w:rFonts w:ascii="Arial" w:cs="Arial" w:eastAsia="Arial" w:hAnsi="Arial"/>
          <w:b w:val="1"/>
          <w:sz w:val="24"/>
          <w:szCs w:val="24"/>
          <w:rtl w:val="0"/>
        </w:rPr>
        <w:t xml:space="preserve">Dra. Sonsoles Infante, presidenta del Comité de Alergia Infantil de la Sociedad Española de Alergología e Inmunología Clínica (SEAIC)</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Avances en el abordaje de la anafilaxia</w:t>
      </w:r>
      <w:r w:rsidDel="00000000" w:rsidR="00000000" w:rsidRPr="00000000">
        <w:rPr>
          <w:rtl w:val="0"/>
        </w:rPr>
      </w:r>
    </w:p>
    <w:p w:rsidR="00000000" w:rsidDel="00000000" w:rsidP="00000000" w:rsidRDefault="00000000" w:rsidRPr="00000000" w14:paraId="00000011">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alergia a alimentos es la primera causa de anafilaxia en niños y la segunda, después de los medicamentos, en adultos. </w:t>
      </w:r>
      <w:r w:rsidDel="00000000" w:rsidR="00000000" w:rsidRPr="00000000">
        <w:rPr>
          <w:rFonts w:ascii="Arial" w:cs="Arial" w:eastAsia="Arial" w:hAnsi="Arial"/>
          <w:i w:val="1"/>
          <w:sz w:val="24"/>
          <w:szCs w:val="24"/>
          <w:rtl w:val="0"/>
        </w:rPr>
        <w:t xml:space="preserve">“Un primer episodio de anafilaxia es muy difícil de prevenir y evitar, por lo que lo importante es que no se repita en pacientes con riesgo a nuevas reacciones. Para ello, es esencial que las personas que hayan presentado reacciones alérgicas graves sean posteriormente evaluados por un alergólogo que formule un plan de acción para abordar posibles nuevas reacciones”, </w:t>
      </w:r>
      <w:r w:rsidDel="00000000" w:rsidR="00000000" w:rsidRPr="00000000">
        <w:rPr>
          <w:rFonts w:ascii="Arial" w:cs="Arial" w:eastAsia="Arial" w:hAnsi="Arial"/>
          <w:sz w:val="24"/>
          <w:szCs w:val="24"/>
          <w:rtl w:val="0"/>
        </w:rPr>
        <w:t xml:space="preserve">reconoce la </w:t>
      </w:r>
      <w:r w:rsidDel="00000000" w:rsidR="00000000" w:rsidRPr="00000000">
        <w:rPr>
          <w:rFonts w:ascii="Arial" w:cs="Arial" w:eastAsia="Arial" w:hAnsi="Arial"/>
          <w:b w:val="1"/>
          <w:sz w:val="24"/>
          <w:szCs w:val="24"/>
          <w:rtl w:val="0"/>
        </w:rPr>
        <w:t xml:space="preserve">Dra. Victoria Cardona, presidenta del Comité de Anafilaxia de la SEAIC</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abordaje de la anafilaxia también se producirán interesantes avances, como la aparición de nuevas formulaciones de adrenalina alternativas a la inyección. Al no requerir la inyección intramuscular, supondrán una gran mejoría para el paciente, familiares y cuidadores. </w:t>
      </w:r>
    </w:p>
    <w:p w:rsidR="00000000" w:rsidDel="00000000" w:rsidP="00000000" w:rsidRDefault="00000000" w:rsidRPr="00000000" w14:paraId="00000013">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para evitar sufrir un caso de anafilaxia es fundamental seguir las recomendaciones del alergólogo. </w:t>
      </w:r>
      <w:r w:rsidDel="00000000" w:rsidR="00000000" w:rsidRPr="00000000">
        <w:rPr>
          <w:rFonts w:ascii="Arial" w:cs="Arial" w:eastAsia="Arial" w:hAnsi="Arial"/>
          <w:i w:val="1"/>
          <w:sz w:val="24"/>
          <w:szCs w:val="24"/>
          <w:rtl w:val="0"/>
        </w:rPr>
        <w:t xml:space="preserve">“Se debe tener un kit de emergencia y un plan de acción para saber qué hacer en caso de que se produzca una nueva reacción alérgica. Las asociaciones de pacientes pueden ser muy útiles para ampliar la información sobre alergia a alimentos y sobre anafilaxia”</w:t>
      </w:r>
      <w:r w:rsidDel="00000000" w:rsidR="00000000" w:rsidRPr="00000000">
        <w:rPr>
          <w:rFonts w:ascii="Arial" w:cs="Arial" w:eastAsia="Arial" w:hAnsi="Arial"/>
          <w:sz w:val="24"/>
          <w:szCs w:val="24"/>
          <w:rtl w:val="0"/>
        </w:rPr>
        <w:t xml:space="preserve">, comparte la doctora.</w:t>
      </w:r>
    </w:p>
    <w:p w:rsidR="00000000" w:rsidDel="00000000" w:rsidP="00000000" w:rsidRDefault="00000000" w:rsidRPr="00000000" w14:paraId="00000014">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la aplicación para móviles Allergapp, desarrollada conjuntamente por un alergólogo socio de la SEAIC y el padre de una paciente alérgica a alimentos, es muy útil guiando al paciente en los pasos a seguir en caso de una reacción alérgica.</w:t>
      </w:r>
    </w:p>
    <w:p w:rsidR="00000000" w:rsidDel="00000000" w:rsidP="00000000" w:rsidRDefault="00000000" w:rsidRPr="00000000" w14:paraId="00000015">
      <w:pPr>
        <w:shd w:fill="ffffff" w:val="clea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hd w:fill="ffffff" w:val="clear"/>
        <w:spacing w:after="160" w:before="240" w:lineRule="auto"/>
        <w:jc w:val="both"/>
        <w:rPr>
          <w:rFonts w:ascii="Arial" w:cs="Arial" w:eastAsia="Arial" w:hAnsi="Arial"/>
          <w:b w:val="1"/>
        </w:rPr>
      </w:pPr>
      <w:r w:rsidDel="00000000" w:rsidR="00000000" w:rsidRPr="00000000">
        <w:rPr>
          <w:rFonts w:ascii="Arial" w:cs="Arial" w:eastAsia="Arial" w:hAnsi="Arial"/>
          <w:b w:val="1"/>
          <w:rtl w:val="0"/>
        </w:rPr>
        <w:t xml:space="preserve">*Para más información</w:t>
      </w:r>
    </w:p>
    <w:p w:rsidR="00000000" w:rsidDel="00000000" w:rsidP="00000000" w:rsidRDefault="00000000" w:rsidRPr="00000000" w14:paraId="00000017">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ALABRA / 91 789 14 59</w:t>
      </w:r>
    </w:p>
    <w:p w:rsidR="00000000" w:rsidDel="00000000" w:rsidP="00000000" w:rsidRDefault="00000000" w:rsidRPr="00000000" w14:paraId="00000018">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Carolina López </w:t>
      </w:r>
      <w:hyperlink r:id="rId8">
        <w:r w:rsidDel="00000000" w:rsidR="00000000" w:rsidRPr="00000000">
          <w:rPr>
            <w:rFonts w:ascii="Arial" w:cs="Arial" w:eastAsia="Arial" w:hAnsi="Arial"/>
            <w:b w:val="1"/>
            <w:color w:val="1155cc"/>
            <w:u w:val="single"/>
            <w:rtl w:val="0"/>
          </w:rPr>
          <w:t xml:space="preserve">carolina.lopez@alabra.es</w:t>
        </w:r>
      </w:hyperlink>
      <w:r w:rsidDel="00000000" w:rsidR="00000000" w:rsidRPr="00000000">
        <w:rPr>
          <w:rtl w:val="0"/>
        </w:rPr>
      </w:r>
    </w:p>
    <w:p w:rsidR="00000000" w:rsidDel="00000000" w:rsidP="00000000" w:rsidRDefault="00000000" w:rsidRPr="00000000" w14:paraId="00000019">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Helena Pastor </w:t>
      </w:r>
      <w:hyperlink r:id="rId9">
        <w:r w:rsidDel="00000000" w:rsidR="00000000" w:rsidRPr="00000000">
          <w:rPr>
            <w:rFonts w:ascii="Arial" w:cs="Arial" w:eastAsia="Arial" w:hAnsi="Arial"/>
            <w:b w:val="1"/>
            <w:color w:val="1155cc"/>
            <w:u w:val="single"/>
            <w:rtl w:val="0"/>
          </w:rPr>
          <w:t xml:space="preserve">helena.pastor@alabra.es</w:t>
        </w:r>
      </w:hyperlink>
      <w:r w:rsidDel="00000000" w:rsidR="00000000" w:rsidRPr="00000000">
        <w:rPr>
          <w:rtl w:val="0"/>
        </w:rPr>
      </w:r>
    </w:p>
    <w:p w:rsidR="00000000" w:rsidDel="00000000" w:rsidP="00000000" w:rsidRDefault="00000000" w:rsidRPr="00000000" w14:paraId="0000001A">
      <w:pPr>
        <w:spacing w:after="0" w:before="240" w:lineRule="auto"/>
        <w:jc w:val="both"/>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1B">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C">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Rule="auto"/>
        <w:ind w:left="0" w:firstLine="0"/>
        <w:jc w:val="both"/>
        <w:rPr>
          <w:rFonts w:ascii="Arial" w:cs="Arial" w:eastAsia="Arial" w:hAnsi="Arial"/>
        </w:rPr>
      </w:pPr>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helena.pastor@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bTZ5x2Aihik0LgTkalKJ0k2gw==">CgMxLjA4AHIhMTlsd0swVkZ6Qmh6X0dHM2g5UENaVW5hcDctdjJTOXp1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