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734F8" w14:textId="77777777" w:rsidR="00C065E2" w:rsidRDefault="00660EC1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1B60C29" wp14:editId="7FFD6332">
            <wp:simplePos x="0" y="0"/>
            <wp:positionH relativeFrom="margin">
              <wp:posOffset>4926965</wp:posOffset>
            </wp:positionH>
            <wp:positionV relativeFrom="margin">
              <wp:posOffset>-781684</wp:posOffset>
            </wp:positionV>
            <wp:extent cx="1196340" cy="1320800"/>
            <wp:effectExtent l="0" t="0" r="0" b="0"/>
            <wp:wrapSquare wrapText="bothSides" distT="0" distB="0" distL="114300" distR="114300"/>
            <wp:docPr id="1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32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D47E322" w14:textId="77777777" w:rsidR="00C065E2" w:rsidRDefault="00660EC1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t xml:space="preserve">     </w:t>
      </w:r>
    </w:p>
    <w:p w14:paraId="49E195C6" w14:textId="77777777" w:rsidR="00C065E2" w:rsidRDefault="00C065E2">
      <w:pPr>
        <w:spacing w:after="0" w:line="240" w:lineRule="auto"/>
        <w:rPr>
          <w:rFonts w:ascii="Arial" w:eastAsia="Arial" w:hAnsi="Arial" w:cs="Arial"/>
          <w:b/>
          <w:color w:val="FF0000"/>
          <w:sz w:val="28"/>
          <w:szCs w:val="28"/>
          <w:u w:val="single"/>
        </w:rPr>
      </w:pPr>
    </w:p>
    <w:p w14:paraId="6E3BA1AC" w14:textId="77777777" w:rsidR="00C065E2" w:rsidRDefault="00660EC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 xml:space="preserve">En el primer día de su Simposio Internacional, que se está celebrando en Palma de Mallorca </w:t>
      </w:r>
    </w:p>
    <w:p w14:paraId="00B62E09" w14:textId="77777777" w:rsidR="00C065E2" w:rsidRDefault="00C065E2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6810CE22" w14:textId="77777777" w:rsidR="00C065E2" w:rsidRDefault="00660EC1">
      <w:pPr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sz w:val="28"/>
          <w:szCs w:val="28"/>
        </w:rPr>
        <w:t xml:space="preserve">LA SEAIC PRESENTA LA GUÍA DE ACTUACIÓN EN ANAFILAXIA </w:t>
      </w:r>
      <w:r>
        <w:rPr>
          <w:rFonts w:ascii="Arial" w:eastAsia="Arial" w:hAnsi="Arial" w:cs="Arial"/>
          <w:b/>
          <w:i/>
          <w:sz w:val="28"/>
          <w:szCs w:val="28"/>
        </w:rPr>
        <w:t>GALAXIA 2022</w:t>
      </w:r>
      <w:r>
        <w:rPr>
          <w:rFonts w:ascii="Arial" w:eastAsia="Arial" w:hAnsi="Arial" w:cs="Arial"/>
          <w:b/>
          <w:sz w:val="28"/>
          <w:szCs w:val="28"/>
        </w:rPr>
        <w:t xml:space="preserve"> Y PIDE A LA ADMINISTRACIÓN CONSIDERAR LA ADRENALINA COMO UN FÁRMACO DE APORTACIÓN REDUCIDA</w:t>
      </w:r>
    </w:p>
    <w:p w14:paraId="67C0D766" w14:textId="77777777" w:rsidR="00C065E2" w:rsidRDefault="00C065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b/>
          <w:color w:val="000000"/>
        </w:rPr>
      </w:pPr>
    </w:p>
    <w:p w14:paraId="6C1462AE" w14:textId="77777777" w:rsidR="00C065E2" w:rsidRDefault="00660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</w:rPr>
        <w:t>Esta edición, además de actualizar los contenidos previos, incluye novedades relevantes, como la perspectiva del paciente y un formato más accesible y actual</w:t>
      </w:r>
    </w:p>
    <w:p w14:paraId="651AAC5D" w14:textId="77777777" w:rsidR="00C065E2" w:rsidRDefault="00C065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b/>
        </w:rPr>
      </w:pPr>
    </w:p>
    <w:p w14:paraId="4B534F11" w14:textId="77777777" w:rsidR="00C065E2" w:rsidRDefault="00660E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Los alergólogos advierten que incluir los autoinyectores en la lista de clasificación ATC de fármacos con aportación reducida garantizaría una mejor adherencia y salvaría vidas.</w:t>
      </w:r>
    </w:p>
    <w:p w14:paraId="560D0C80" w14:textId="77777777" w:rsidR="00C065E2" w:rsidRDefault="00C065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jc w:val="both"/>
        <w:rPr>
          <w:rFonts w:ascii="Arial" w:eastAsia="Arial" w:hAnsi="Arial" w:cs="Arial"/>
          <w:b/>
        </w:rPr>
      </w:pPr>
    </w:p>
    <w:p w14:paraId="4DA575B9" w14:textId="77777777" w:rsidR="00C065E2" w:rsidRDefault="00660EC1">
      <w:pPr>
        <w:numPr>
          <w:ilvl w:val="0"/>
          <w:numId w:val="1"/>
        </w:numPr>
        <w:spacing w:after="0" w:line="259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Acceso a la Guía Galaxia 2022 a través de este enlace </w:t>
      </w:r>
      <w:hyperlink r:id="rId7">
        <w:r>
          <w:rPr>
            <w:rFonts w:ascii="Verdana" w:eastAsia="Verdana" w:hAnsi="Verdana" w:cs="Verdana"/>
            <w:b/>
            <w:color w:val="1155CC"/>
            <w:sz w:val="20"/>
            <w:szCs w:val="20"/>
            <w:highlight w:val="white"/>
            <w:u w:val="single"/>
          </w:rPr>
          <w:t xml:space="preserve">www.guiagalaxia.com </w:t>
        </w:r>
      </w:hyperlink>
    </w:p>
    <w:p w14:paraId="5FA21146" w14:textId="77777777" w:rsidR="00C065E2" w:rsidRDefault="00C065E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jc w:val="both"/>
        <w:rPr>
          <w:rFonts w:ascii="Arial" w:eastAsia="Arial" w:hAnsi="Arial" w:cs="Arial"/>
          <w:b/>
          <w:color w:val="000000"/>
        </w:rPr>
      </w:pPr>
    </w:p>
    <w:p w14:paraId="677D86D0" w14:textId="77777777" w:rsidR="00C065E2" w:rsidRDefault="00C065E2">
      <w:pPr>
        <w:spacing w:after="0" w:line="240" w:lineRule="auto"/>
        <w:jc w:val="both"/>
        <w:rPr>
          <w:rFonts w:ascii="Arial" w:eastAsia="Arial" w:hAnsi="Arial" w:cs="Arial"/>
          <w:i/>
        </w:rPr>
      </w:pPr>
    </w:p>
    <w:p w14:paraId="55A9D857" w14:textId="6154405A" w:rsidR="00C065E2" w:rsidRDefault="00660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</w:rPr>
        <w:t>Palma de Mallorca</w:t>
      </w:r>
      <w:r>
        <w:rPr>
          <w:rFonts w:ascii="Arial" w:eastAsia="Arial" w:hAnsi="Arial" w:cs="Arial"/>
          <w:b/>
          <w:color w:val="000000"/>
        </w:rPr>
        <w:t xml:space="preserve">, </w:t>
      </w:r>
      <w:r>
        <w:rPr>
          <w:rFonts w:ascii="Arial" w:eastAsia="Arial" w:hAnsi="Arial" w:cs="Arial"/>
          <w:b/>
        </w:rPr>
        <w:t>27</w:t>
      </w:r>
      <w:r>
        <w:rPr>
          <w:rFonts w:ascii="Arial" w:eastAsia="Arial" w:hAnsi="Arial" w:cs="Arial"/>
          <w:b/>
          <w:color w:val="000000"/>
        </w:rPr>
        <w:t xml:space="preserve"> de</w:t>
      </w:r>
      <w:r w:rsidR="00645D75">
        <w:rPr>
          <w:rFonts w:ascii="Arial" w:eastAsia="Arial" w:hAnsi="Arial" w:cs="Arial"/>
          <w:b/>
          <w:color w:val="000000"/>
        </w:rPr>
        <w:t xml:space="preserve"> octubre</w:t>
      </w:r>
      <w:r>
        <w:rPr>
          <w:rFonts w:ascii="Arial" w:eastAsia="Arial" w:hAnsi="Arial" w:cs="Arial"/>
          <w:b/>
          <w:color w:val="000000"/>
        </w:rPr>
        <w:t xml:space="preserve"> de 202</w:t>
      </w:r>
      <w:r>
        <w:rPr>
          <w:rFonts w:ascii="Arial" w:eastAsia="Arial" w:hAnsi="Arial" w:cs="Arial"/>
          <w:b/>
        </w:rPr>
        <w:t>2</w:t>
      </w:r>
      <w:r>
        <w:rPr>
          <w:rFonts w:ascii="Arial" w:eastAsia="Arial" w:hAnsi="Arial" w:cs="Arial"/>
          <w:b/>
          <w:color w:val="000000"/>
        </w:rPr>
        <w:t xml:space="preserve">.- </w:t>
      </w:r>
      <w:r>
        <w:rPr>
          <w:rFonts w:ascii="Arial" w:eastAsia="Arial" w:hAnsi="Arial" w:cs="Arial"/>
          <w:color w:val="000000"/>
        </w:rPr>
        <w:t xml:space="preserve">La anafilaxia es la reacción alérgica más grave que puede ocurrir, puesto que puede llegar a poner en peligro la vida del paciente. De hecho, existen datos epidemiológicos que nos indican que los casos de anafilaxia están aumentando en España. </w:t>
      </w:r>
    </w:p>
    <w:p w14:paraId="6FDD6854" w14:textId="091D857B" w:rsidR="00C065E2" w:rsidRDefault="00660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color w:val="000000"/>
        </w:rPr>
        <w:t>Por este motivo, y con el objetivo de ayudar a mejorar el diagnóstico y el tratamiento de la anafilaxia, disminuyendo así la morbilidad y</w:t>
      </w:r>
      <w:r w:rsidR="00A219A8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sobre todo</w:t>
      </w:r>
      <w:r w:rsidR="00A219A8">
        <w:rPr>
          <w:rFonts w:ascii="Arial" w:eastAsia="Arial" w:hAnsi="Arial" w:cs="Arial"/>
          <w:color w:val="000000"/>
        </w:rPr>
        <w:t>,</w:t>
      </w:r>
      <w:r>
        <w:rPr>
          <w:rFonts w:ascii="Arial" w:eastAsia="Arial" w:hAnsi="Arial" w:cs="Arial"/>
          <w:color w:val="000000"/>
        </w:rPr>
        <w:t xml:space="preserve"> la mortalidad por esta causa en nuestro país, la </w:t>
      </w:r>
      <w:r>
        <w:rPr>
          <w:rFonts w:ascii="Arial" w:eastAsia="Arial" w:hAnsi="Arial" w:cs="Arial"/>
          <w:b/>
          <w:color w:val="000000"/>
        </w:rPr>
        <w:t>Sociedad Española de Alergología e Inmunología Clínica (SEAIC)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</w:rPr>
        <w:t xml:space="preserve">presenta la Guía Galaxia 2022, </w:t>
      </w:r>
      <w:r>
        <w:rPr>
          <w:rFonts w:ascii="Arial" w:eastAsia="Arial" w:hAnsi="Arial" w:cs="Arial"/>
        </w:rPr>
        <w:t xml:space="preserve">el documento de posicionamiento sobre el diagnóstico y el tratamiento de esta patología. </w:t>
      </w:r>
    </w:p>
    <w:p w14:paraId="1BF85FD8" w14:textId="20984193" w:rsidR="00C065E2" w:rsidRDefault="00660EC1">
      <w:pPr>
        <w:shd w:val="clear" w:color="auto" w:fill="FFFFFF"/>
        <w:spacing w:after="150"/>
        <w:jc w:val="both"/>
        <w:rPr>
          <w:rFonts w:ascii="Arial" w:eastAsia="Arial" w:hAnsi="Arial" w:cs="Arial"/>
          <w:b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i/>
        </w:rPr>
        <w:t>“Por fin, después de mucho tiempo de trabajo, podemos presentar la actualización de la Guía Galaxia. Este documento adopta las principales indicaciones de las guías Galaxia 2009 y 2016 e incorpora algunos cambios relevantes y novedosos en aspectos específicos, como la perspectiva de</w:t>
      </w:r>
      <w:r w:rsidR="00A219A8">
        <w:rPr>
          <w:rFonts w:ascii="Arial" w:eastAsia="Arial" w:hAnsi="Arial" w:cs="Arial"/>
          <w:i/>
        </w:rPr>
        <w:t>l</w:t>
      </w:r>
      <w:r>
        <w:rPr>
          <w:rFonts w:ascii="Arial" w:eastAsia="Arial" w:hAnsi="Arial" w:cs="Arial"/>
          <w:i/>
        </w:rPr>
        <w:t xml:space="preserve"> paciente y la implicación de la sociedad en crear ambientes seguros para los pacientes alérgicos en riesgo de padecer una anafilaxia”</w:t>
      </w:r>
      <w:r>
        <w:rPr>
          <w:rFonts w:ascii="Arial" w:eastAsia="Arial" w:hAnsi="Arial" w:cs="Arial"/>
        </w:rPr>
        <w:t xml:space="preserve">, explica la </w:t>
      </w:r>
      <w:r>
        <w:rPr>
          <w:rFonts w:ascii="Arial" w:eastAsia="Arial" w:hAnsi="Arial" w:cs="Arial"/>
          <w:b/>
        </w:rPr>
        <w:t xml:space="preserve">doctora Belén de la Hoz, vicepresidenta de la SEAIC. </w:t>
      </w:r>
    </w:p>
    <w:p w14:paraId="6332B771" w14:textId="7835AAE9" w:rsidR="00C065E2" w:rsidRPr="004D0629" w:rsidRDefault="00660EC1" w:rsidP="004D0629">
      <w:pPr>
        <w:shd w:val="clear" w:color="auto" w:fill="FFFFFF"/>
        <w:spacing w:after="150"/>
        <w:jc w:val="both"/>
        <w:rPr>
          <w:rFonts w:ascii="Arial" w:eastAsia="Arial" w:hAnsi="Arial" w:cs="Arial"/>
          <w:b/>
        </w:rPr>
      </w:pPr>
      <w:bookmarkStart w:id="2" w:name="_heading=h.y96691xxlujd" w:colFirst="0" w:colLast="0"/>
      <w:bookmarkEnd w:id="2"/>
      <w:r>
        <w:rPr>
          <w:rFonts w:ascii="Arial" w:eastAsia="Arial" w:hAnsi="Arial" w:cs="Arial"/>
        </w:rPr>
        <w:t xml:space="preserve">En relación con este tema, y debido a la gravedad de este tipo de reacciones, la SEAIC ha solicitado a la administración sanitaria que la adrenalina tenga un coste cero. </w:t>
      </w:r>
      <w:r>
        <w:rPr>
          <w:rFonts w:ascii="Arial" w:eastAsia="Arial" w:hAnsi="Arial" w:cs="Arial"/>
          <w:i/>
        </w:rPr>
        <w:t>“La anafilaxia es una reacción alérgica grave desencadenada por una enfermedad crónica subyacente</w:t>
      </w:r>
      <w:r w:rsidR="00A219A8">
        <w:rPr>
          <w:rFonts w:ascii="Arial" w:eastAsia="Arial" w:hAnsi="Arial" w:cs="Arial"/>
          <w:i/>
        </w:rPr>
        <w:t>,</w:t>
      </w:r>
      <w:r>
        <w:rPr>
          <w:rFonts w:ascii="Arial" w:eastAsia="Arial" w:hAnsi="Arial" w:cs="Arial"/>
          <w:i/>
        </w:rPr>
        <w:t xml:space="preserve"> que puede llegar a ser mortal. Incluir los autoinyectores en la lista de clasificación ATC de fármacos con aportación reducida garantizaría una mejor adherencia y salvaría vidas. Los autoinyectores de adrenalina son los salvavidas de las </w:t>
      </w:r>
      <w:r>
        <w:rPr>
          <w:rFonts w:ascii="Arial" w:eastAsia="Arial" w:hAnsi="Arial" w:cs="Arial"/>
          <w:i/>
        </w:rPr>
        <w:lastRenderedPageBreak/>
        <w:t>personas que sufren anafilaxia</w:t>
      </w:r>
      <w:r>
        <w:rPr>
          <w:rFonts w:ascii="Arial" w:eastAsia="Arial" w:hAnsi="Arial" w:cs="Arial"/>
        </w:rPr>
        <w:t>”, adviert</w:t>
      </w:r>
      <w:r>
        <w:rPr>
          <w:rFonts w:ascii="Arial" w:eastAsia="Arial" w:hAnsi="Arial" w:cs="Arial"/>
          <w:b/>
        </w:rPr>
        <w:t>e el doctor Antonio Valero, presidente de la SEAIC.</w:t>
      </w:r>
      <w:bookmarkStart w:id="3" w:name="_heading=h.wmoqwu5aoua" w:colFirst="0" w:colLast="0"/>
      <w:bookmarkEnd w:id="3"/>
    </w:p>
    <w:p w14:paraId="2BB45C05" w14:textId="66FF655F" w:rsidR="00C065E2" w:rsidRDefault="00660E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color w:val="000000"/>
        </w:rPr>
      </w:pPr>
      <w:bookmarkStart w:id="4" w:name="_heading=h.dlz51tksv40f" w:colFirst="0" w:colLast="0"/>
      <w:bookmarkEnd w:id="4"/>
      <w:r>
        <w:rPr>
          <w:rFonts w:ascii="Arial" w:eastAsia="Arial" w:hAnsi="Arial" w:cs="Arial"/>
        </w:rPr>
        <w:t>La actualización de esta guía se ha realizado en</w:t>
      </w:r>
      <w:r>
        <w:rPr>
          <w:rFonts w:ascii="Arial" w:eastAsia="Arial" w:hAnsi="Arial" w:cs="Arial"/>
          <w:color w:val="000000"/>
        </w:rPr>
        <w:t xml:space="preserve"> colaboración de la Sociedad Española de Inmunología Clínica, Alergología y Asma Pediátrica (SEICAP); la Sociedad Española de Medicina de Emergencias (SEMES); la Sociedad Española de Urgencias Pediátricas (SEUP); la Sociedad Española de Médicos Generales y de Familia (SEMG); la Sociedad Española de Médicos de Atención Primaria (SEMERGEN); la Sociedad Española de Medicina de Familia y Comunitaria (SEMFYC); la Asociación Española de Pediatría (AEP) y Asociación Española de </w:t>
      </w:r>
      <w:r w:rsidRPr="004D0629">
        <w:rPr>
          <w:rFonts w:ascii="Arial" w:eastAsia="Arial" w:hAnsi="Arial" w:cs="Arial"/>
          <w:color w:val="000000"/>
        </w:rPr>
        <w:t>Pediatría de Atención Primaria (AEPap).</w:t>
      </w:r>
      <w:r w:rsidR="000A3F3D" w:rsidRPr="004D0629">
        <w:rPr>
          <w:rFonts w:ascii="Arial" w:eastAsia="Arial" w:hAnsi="Arial" w:cs="Arial"/>
          <w:color w:val="000000"/>
        </w:rPr>
        <w:t xml:space="preserve"> </w:t>
      </w:r>
      <w:r w:rsidR="004D0629" w:rsidRPr="004D0629">
        <w:rPr>
          <w:rFonts w:ascii="Arial" w:eastAsia="Arial" w:hAnsi="Arial" w:cs="Arial"/>
          <w:color w:val="000000"/>
        </w:rPr>
        <w:t>También s</w:t>
      </w:r>
      <w:r w:rsidR="000A3F3D" w:rsidRPr="004D0629">
        <w:rPr>
          <w:rFonts w:ascii="Arial" w:eastAsia="Arial" w:hAnsi="Arial" w:cs="Arial"/>
          <w:color w:val="000000"/>
        </w:rPr>
        <w:t>e ha contado con la colaboración de los pacientes a través de dos asociaciones</w:t>
      </w:r>
      <w:r w:rsidR="004D0629" w:rsidRPr="004D0629">
        <w:rPr>
          <w:rFonts w:ascii="Arial" w:eastAsia="Arial" w:hAnsi="Arial" w:cs="Arial"/>
          <w:color w:val="000000"/>
        </w:rPr>
        <w:t>:</w:t>
      </w:r>
      <w:r w:rsidR="000A3F3D" w:rsidRPr="004D0629">
        <w:rPr>
          <w:rFonts w:ascii="Arial" w:eastAsia="Arial" w:hAnsi="Arial" w:cs="Arial"/>
          <w:color w:val="000000"/>
        </w:rPr>
        <w:t xml:space="preserve">  la Asociación de Pacientes Alérgicos a Alimentos</w:t>
      </w:r>
      <w:r w:rsidR="00645D75" w:rsidRPr="004D0629">
        <w:rPr>
          <w:rFonts w:ascii="Arial" w:eastAsia="Arial" w:hAnsi="Arial" w:cs="Arial"/>
          <w:color w:val="000000"/>
        </w:rPr>
        <w:t xml:space="preserve"> y Látex (</w:t>
      </w:r>
      <w:r w:rsidR="000A3F3D" w:rsidRPr="004D0629">
        <w:rPr>
          <w:rFonts w:ascii="Arial" w:eastAsia="Arial" w:hAnsi="Arial" w:cs="Arial"/>
          <w:color w:val="000000"/>
        </w:rPr>
        <w:t>AEPNAA</w:t>
      </w:r>
      <w:r w:rsidR="00645D75" w:rsidRPr="004D0629">
        <w:rPr>
          <w:rFonts w:ascii="Arial" w:eastAsia="Arial" w:hAnsi="Arial" w:cs="Arial"/>
          <w:color w:val="000000"/>
        </w:rPr>
        <w:t>)</w:t>
      </w:r>
      <w:r w:rsidR="000A3F3D" w:rsidRPr="004D0629">
        <w:rPr>
          <w:rFonts w:ascii="Arial" w:eastAsia="Arial" w:hAnsi="Arial" w:cs="Arial"/>
          <w:color w:val="000000"/>
        </w:rPr>
        <w:t xml:space="preserve"> y la Asociación Extremeña Alérgicos a Alimentos </w:t>
      </w:r>
      <w:r w:rsidR="00645D75" w:rsidRPr="004D0629">
        <w:rPr>
          <w:rFonts w:ascii="Arial" w:eastAsia="Arial" w:hAnsi="Arial" w:cs="Arial"/>
          <w:color w:val="000000"/>
        </w:rPr>
        <w:t>(</w:t>
      </w:r>
      <w:r w:rsidR="000A3F3D" w:rsidRPr="004D0629">
        <w:rPr>
          <w:rFonts w:ascii="Arial" w:eastAsia="Arial" w:hAnsi="Arial" w:cs="Arial"/>
          <w:color w:val="000000"/>
        </w:rPr>
        <w:t>AEXAAL</w:t>
      </w:r>
      <w:r w:rsidR="00645D75" w:rsidRPr="004D0629">
        <w:rPr>
          <w:rFonts w:ascii="Arial" w:eastAsia="Arial" w:hAnsi="Arial" w:cs="Arial"/>
          <w:color w:val="000000"/>
        </w:rPr>
        <w:t>).</w:t>
      </w:r>
    </w:p>
    <w:p w14:paraId="413AE9DB" w14:textId="2F331906" w:rsidR="00C065E2" w:rsidRDefault="00660EC1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Además, esta edición se presentará en un formato de </w:t>
      </w:r>
      <w:r>
        <w:rPr>
          <w:rFonts w:ascii="Arial" w:eastAsia="Arial" w:hAnsi="Arial" w:cs="Arial"/>
          <w:i/>
        </w:rPr>
        <w:t>web App</w:t>
      </w:r>
      <w:r>
        <w:rPr>
          <w:rFonts w:ascii="Arial" w:eastAsia="Arial" w:hAnsi="Arial" w:cs="Arial"/>
        </w:rPr>
        <w:t>, para adaptarse así a la forma en la que actualmente se consume información</w:t>
      </w:r>
      <w:r w:rsidR="00A219A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y</w:t>
      </w:r>
      <w:r w:rsidR="00A219A8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concretamente, información científica. De este modo, además de la actualización de sus contenidos, la guía se convertirá en un documento más ágil e intuitivo para su utilización por parte de los diferentes colectivos sanitarios. </w:t>
      </w:r>
    </w:p>
    <w:p w14:paraId="0C2A5FB0" w14:textId="69DF19E3" w:rsidR="00C065E2" w:rsidRDefault="00660EC1">
      <w:pPr>
        <w:spacing w:after="160" w:line="259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documento está dirigido a médicos de Atención Primaria, </w:t>
      </w:r>
      <w:r w:rsidR="00A219A8">
        <w:rPr>
          <w:rFonts w:ascii="Arial" w:eastAsia="Arial" w:hAnsi="Arial" w:cs="Arial"/>
        </w:rPr>
        <w:t xml:space="preserve">a </w:t>
      </w:r>
      <w:r>
        <w:rPr>
          <w:rFonts w:ascii="Arial" w:eastAsia="Arial" w:hAnsi="Arial" w:cs="Arial"/>
        </w:rPr>
        <w:t>otras especialidades médicas y a</w:t>
      </w:r>
      <w:r w:rsidR="00A219A8">
        <w:rPr>
          <w:rFonts w:ascii="Arial" w:eastAsia="Arial" w:hAnsi="Arial" w:cs="Arial"/>
        </w:rPr>
        <w:t>l</w:t>
      </w:r>
      <w:r>
        <w:rPr>
          <w:rFonts w:ascii="Arial" w:eastAsia="Arial" w:hAnsi="Arial" w:cs="Arial"/>
        </w:rPr>
        <w:t xml:space="preserve"> personal </w:t>
      </w:r>
      <w:r w:rsidR="00A219A8">
        <w:rPr>
          <w:rFonts w:ascii="Arial" w:eastAsia="Arial" w:hAnsi="Arial" w:cs="Arial"/>
        </w:rPr>
        <w:t>sanitario</w:t>
      </w:r>
      <w:r>
        <w:rPr>
          <w:rFonts w:ascii="Arial" w:eastAsia="Arial" w:hAnsi="Arial" w:cs="Arial"/>
        </w:rPr>
        <w:t xml:space="preserve"> asociado que atiende a pacientes de cualquier edad y, en particular, a aquellos que trabajan en entornos de emergencia y perioperatorios. Asimismo, este documento también será de gran utilidad para los pacientes, sus familiares y su entorno social. </w:t>
      </w:r>
    </w:p>
    <w:p w14:paraId="50A59058" w14:textId="77777777" w:rsidR="00C065E2" w:rsidRDefault="00C065E2">
      <w:pPr>
        <w:spacing w:after="160" w:line="259" w:lineRule="auto"/>
        <w:jc w:val="both"/>
        <w:rPr>
          <w:rFonts w:ascii="Arial" w:eastAsia="Arial" w:hAnsi="Arial" w:cs="Arial"/>
        </w:rPr>
      </w:pPr>
    </w:p>
    <w:p w14:paraId="7A9F5CA7" w14:textId="77777777" w:rsidR="00C065E2" w:rsidRDefault="00C065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/>
        <w:jc w:val="both"/>
        <w:rPr>
          <w:rFonts w:ascii="Arial" w:eastAsia="Arial" w:hAnsi="Arial" w:cs="Arial"/>
          <w:b/>
          <w:color w:val="000000"/>
        </w:rPr>
      </w:pPr>
    </w:p>
    <w:p w14:paraId="4EB266F5" w14:textId="77777777" w:rsidR="00C065E2" w:rsidRDefault="00660EC1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*Para más información </w:t>
      </w:r>
    </w:p>
    <w:p w14:paraId="2D249B3F" w14:textId="77777777" w:rsidR="00C065E2" w:rsidRDefault="00660EC1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ALABRA / 91 789 14 59</w:t>
      </w:r>
    </w:p>
    <w:p w14:paraId="70649C58" w14:textId="77777777" w:rsidR="00C065E2" w:rsidRDefault="00660EC1">
      <w:pPr>
        <w:spacing w:after="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Helena Pastor </w:t>
      </w:r>
      <w:hyperlink r:id="rId8">
        <w:r>
          <w:rPr>
            <w:rFonts w:ascii="Arial" w:eastAsia="Arial" w:hAnsi="Arial" w:cs="Arial"/>
            <w:b/>
            <w:color w:val="0000FF"/>
            <w:u w:val="single"/>
          </w:rPr>
          <w:t>helena.pastor@alabra.es</w:t>
        </w:r>
      </w:hyperlink>
      <w:r>
        <w:rPr>
          <w:rFonts w:ascii="Arial" w:eastAsia="Arial" w:hAnsi="Arial" w:cs="Arial"/>
          <w:b/>
          <w:color w:val="0000FF"/>
          <w:u w:val="single"/>
        </w:rPr>
        <w:t xml:space="preserve"> </w:t>
      </w:r>
    </w:p>
    <w:p w14:paraId="5ECEE1B7" w14:textId="77777777" w:rsidR="00C065E2" w:rsidRDefault="00C065E2">
      <w:pPr>
        <w:spacing w:after="0"/>
        <w:jc w:val="both"/>
        <w:rPr>
          <w:rFonts w:ascii="Arial" w:eastAsia="Arial" w:hAnsi="Arial" w:cs="Arial"/>
          <w:b/>
        </w:rPr>
      </w:pPr>
    </w:p>
    <w:sectPr w:rsidR="00C065E2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83A7D"/>
    <w:multiLevelType w:val="multilevel"/>
    <w:tmpl w:val="0E9CDB2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num w:numId="1" w16cid:durableId="902763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5E2"/>
    <w:rsid w:val="000A3F3D"/>
    <w:rsid w:val="004D0629"/>
    <w:rsid w:val="005F3B89"/>
    <w:rsid w:val="00645D75"/>
    <w:rsid w:val="00660EC1"/>
    <w:rsid w:val="00A219A8"/>
    <w:rsid w:val="00C0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5433"/>
  <w15:docId w15:val="{6C16365A-9FEE-3B4A-9432-297F56E6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348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FF7D6A"/>
    <w:pPr>
      <w:ind w:left="720"/>
      <w:contextualSpacing/>
    </w:pPr>
  </w:style>
  <w:style w:type="paragraph" w:customStyle="1" w:styleId="Default">
    <w:name w:val="Default"/>
    <w:rsid w:val="008A45D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8348F6"/>
    <w:rPr>
      <w:rFonts w:ascii="Times New Roman" w:eastAsia="Times New Roman" w:hAnsi="Times New Roman" w:cs="Times New Roman"/>
      <w:b/>
      <w:bCs/>
      <w:sz w:val="27"/>
      <w:szCs w:val="27"/>
      <w:lang w:eastAsia="ca-ES"/>
    </w:rPr>
  </w:style>
  <w:style w:type="character" w:styleId="Hipervnculo">
    <w:name w:val="Hyperlink"/>
    <w:basedOn w:val="Fuentedeprrafopredeter"/>
    <w:uiPriority w:val="99"/>
    <w:unhideWhenUsed/>
    <w:rsid w:val="008348F6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002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00267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602B9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iPriority w:val="99"/>
    <w:unhideWhenUsed/>
    <w:rsid w:val="0060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n">
    <w:name w:val="Revision"/>
    <w:hidden/>
    <w:uiPriority w:val="99"/>
    <w:semiHidden/>
    <w:rsid w:val="00027B7A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616B98"/>
    <w:rPr>
      <w:color w:val="800080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B17D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17DF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17DF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D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DF5"/>
    <w:rPr>
      <w:b/>
      <w:bCs/>
      <w:sz w:val="20"/>
      <w:szCs w:val="20"/>
    </w:rPr>
  </w:style>
  <w:style w:type="character" w:styleId="Mencinsinresolver">
    <w:name w:val="Unresolved Mention"/>
    <w:basedOn w:val="Fuentedeprrafopredeter"/>
    <w:uiPriority w:val="99"/>
    <w:semiHidden/>
    <w:unhideWhenUsed/>
    <w:rsid w:val="00DF134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3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5B13"/>
  </w:style>
  <w:style w:type="paragraph" w:styleId="Piedepgina">
    <w:name w:val="footer"/>
    <w:basedOn w:val="Normal"/>
    <w:link w:val="PiedepginaCar"/>
    <w:uiPriority w:val="99"/>
    <w:unhideWhenUsed/>
    <w:rsid w:val="00A35B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5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astor@plannermedia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uiagalaxia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MV4R36oxqyIw5Bqnbl/5zkmupZw==">AMUW2mVoxEJGN6ZSpVA4NNZ0yQT+LB/J2TfdTmEpXzI0uICTlXffG9ahCrrtFkJo/sVQtMy7GGM5HFoB01+FjAa7PMsr3fYpga0+aKYXCpvtjXLDzg1/lCqPkOI9uklrGh1jwW9bEO92wvO04Ynrjsf8bBeCxbjv0lRwsKLb70QMDWLW/xLjN3ig+13QZ0QkXPWZu28vgvm0vI5+IF48XuKUyA5FBRurLrhZW/XqWgdn2csJkqR6mGI/poWvJbVj4xdielrZwGL1kTMajLfMp4x/9LKYGi71RgRuRyrs24bSFaIWNXGjWROqfUcZPcYLLhViEWJ3G8epzCdM4jGi+7YK/sAaRGpLUmJBsmC8EuGMV3BHYAxIjwYAUyg7PKAIfFdUiUFhrloyYzt5Y7wVd3ycGW8zEop1H7D4qo+0FRjRQXJUg++uk3xLVgkOAnCUiUbHcBOgNsWIM5e+jo26/A+x+uW+rTpF0FBOhcA+Ksf5SyijCneFnEHxn8NQRSEXE2xc37VwkNorQScXl/T6aRLhJqu4ngVidcxpxRqx5DnaXXj7IjrpRscDHLagjDay7U9DS+XSEBASPvmeuQUdqzdSjYbQK+4v36BeBwpQFNYQtFzcbp6ZAEvXJl5B5+DOKbQFUc3XeiQGU30AqX4EJDXmW4hJRiaIWB5YtfjKUUO6yq9NV2t9fcvYEa/WTelyMr4cDEw9cQL5ELAkfjKF9nU+RsUikICD+mbTD9rT5+2rUKkgARzX16f5RrzXcK9/yIET6N9UgFsYajjHBTyK40Nulsk1WH/qZWMEWpVmTMgBqobULa8LyHuiJvHUDA27pTZDnPDXOJovPulKoWUbj8afDkMCsomfrqB8xXe8PFPAQD+6w0u48u4vIdUfNJQCnwbQIvsGzRC4wJCGmwP9E3i9lzoElRhnAWhfD9PxECzhxlSl7eDqHTL241olDh31ylykK9zaIkMN1lBE3I2m3mWSKqmlpDbFHR0DmbkLnH0UV271nfNuDjRdyd0sciFG19n6b5vF8NaH7uU7yiUW72d/CxPy1XZ3T5Jqm5TqiYkxsO/ROlbgfRFzL/FV15DhCZbpLSsMfEJ/ArP8kmTx6NR6Pqx/zhzoHd8wa3o5Kq3S7TlShdfSibRPjt4f0qbguERl+TPA8Ya1fpIr+9kTEvJtrTCpdMAwu0SKIxsi/G2vuBPqQO2hrac78XnM5QYXv5N9IRWatQiW6jbRgihHjSWJwLndcn/iS+iMvz7omWRMveo08MVzUPVexu3y3tRTENokUfFoutCAedpHNFy8ZY4B9oqVCDhH3s0pE9gBSkOyGs2f2rd4lyqF5AtwICfXNnRMfGKmryS/hUexjb2Rk0imATLy4NVN/4Y3HAB3BAxoinI+mChEdqRcU6Lc3QTABYVWYKE+oigWT4EWXK2By7SrkJZ88QmMBktPeG6Zd9WWlAFfXHP+tGWsl+IP1LEU5bHQ2HvYSHfVYMZjUv44wx7tNLVhslu5/tWs244bRBkl6hqcrNkDOzUZJ9kRe2DDpL4C536og6IPbiB90QgbXUNQn5lDIIZm7B/UuGUiFPEqfjXonut1FdJUvB72pYSLhUKXuJOw0RnDuqglanw851vxdL1xekG59+XR6Ol9U/ct/MZnjWP+5oSAkRIhRiXHIv8FBlYjpRBShoFh01OCZW5xYuQu+B8A2S4TF0SUpV9Bgu4gw0mBJzEOsOTbJ9Z1BAmKNflGcrPLwVUZZiJf/QgFbBaqPMg3Va6ufqCP+23JqTSvrX2SUPTeFIlugd3bZOwis5owJU+dSOWYjIfShWcizCdUcjiHu+ArjTUcRDIeEn3JzRkJOPKT5yFoJ9TIjwQ7WffmMM3IH7+nOavouGJfB6G5ND/1fe0SLavMR29ghH9IjVYb90GmPtSFOWjrr3zTe3+YDTZjIeFqk/xSZ+vXxt+/m5jwv+PmnrzqYKUwLsBAptlJINB3c/qVIz5mFsqxcef3nArKxeXBlM3xJ0tBz+TBM1dQZjTYpDUaJkaMNQ4M4tWUTM1jhF8jTyl15QDy5zF6sHipgdMo/CzG6m0jkA7r+M2lR8j8FVg5hRb0idzEYBGqyJTKNWXrYgvTqZy0ESpkGBWoPpIZBOmNRgy8yes1sU2o2pNTCZdcUu6s5gJ2GPHEtozMkIR7KQlFOQBEWiODEA5Cl9Fe8yK3AV242NqZKnGV9K8qdVGDa5+e6TjpNjH8ceMHfFlbgHKqrDfr+okqI/Ydk+ng7eCa4NOHP6DV1GCJDD2vZSrYZbtZFuWl8wG6oOfAa/8uwdVErBInIM8a4+/hMjMxqr+H2X3NLVGHu7oVLbEW+XQSHGK5xrHPmEm8dEyU4ZSISfLlNJwSBZPWi47ARr89GG/LVsOAPcHTwKpdvuKidGkUmhGhgmPj8JzvCmeZd0acNxXQcMVobdgqZWA4gUfgkIxsOp4lY3uw6r2phy7ShlUxVbJof+qsaHVpoUjo9Wv2IXC/VncH4fCAbdeMv9nBL0BNZc5GlDEDd776jb5EUEvsz8iCmLozMXwja11fTznqmEMlaLJ8h8RyiBFP2VSgV4mkK/6NkzvRg6vOAXB6vhUakj9ud3Wa4bxKfBSfpEe02ScUeHJf7esGeWW5Gc/Rw+iG6SB7OrhnbiYQU9mpp/C3hc5qLmOpJ1r/VXYTy+kyiab7Vaxz9m2Tg4/RUJV/B+KKSJy+mQTVvpBwpwvUXeZY7stvI2cnjgu186fDz5bfBXrlcuH3vBlWQ9KPGZq8pbsvxikusnerRtqN+YIjeHybvNxTkpqtWJFvILsCKDyxFFcYWoUWzpRqwepvqUqOEbsd7n2jLcW/lPTVS+OKulmbG1M7I6RnFtv91s0MtENB9Nii3GDHGz5yNRBHZQiZrvx5S2DH0hw6y9VmSwXVgKkA8p+lY/P2h8FLMf0XJNEFh9yIdH3hxFBVfpo1VCTauSQH3uSO5hr8JyrPecfqI9HdrLHzj3R42p9B7gRBwXRSF/IlaxpZV8sqBmPpI6BvCU/pnvnW90qcGzKgmCjTAUfLo8AeaB9aWwT/wib5NdUj2bgmjjylHzj2y8oKwBjMKkyqT0pVK5kU7vx0uh4lEoRRXuXk9fCui3aNwb8jiucOSWcahCjOqQv4s8yVrgo0vtZhtLzJugoMEA0lmkNANtKi4Im04GcRcwyjQU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635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Soto Retes</dc:creator>
  <cp:lastModifiedBy>HelenaPastor</cp:lastModifiedBy>
  <cp:revision>3</cp:revision>
  <dcterms:created xsi:type="dcterms:W3CDTF">2022-10-26T18:48:00Z</dcterms:created>
  <dcterms:modified xsi:type="dcterms:W3CDTF">2022-10-27T07:20:00Z</dcterms:modified>
</cp:coreProperties>
</file>