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8DCC1" w14:textId="77777777" w:rsidR="00A850A6" w:rsidRDefault="00A850A6" w:rsidP="001922A1">
      <w:pPr>
        <w:jc w:val="both"/>
        <w:rPr>
          <w:b/>
          <w:bCs/>
          <w:lang w:val="es-ES"/>
        </w:rPr>
      </w:pPr>
    </w:p>
    <w:p w14:paraId="03F76392" w14:textId="25FF6F3C" w:rsidR="008C4662" w:rsidRPr="007522D3" w:rsidRDefault="008C4662" w:rsidP="001922A1">
      <w:pPr>
        <w:jc w:val="both"/>
        <w:rPr>
          <w:b/>
          <w:bCs/>
          <w:sz w:val="26"/>
          <w:szCs w:val="26"/>
          <w:lang w:val="es-ES"/>
        </w:rPr>
      </w:pPr>
      <w:r w:rsidRPr="007522D3">
        <w:rPr>
          <w:b/>
          <w:bCs/>
          <w:sz w:val="26"/>
          <w:szCs w:val="26"/>
          <w:lang w:val="es-ES"/>
        </w:rPr>
        <w:t xml:space="preserve">YA DISPONIBLE PARA DESCARGA LA </w:t>
      </w:r>
      <w:r w:rsidR="00360C38" w:rsidRPr="007522D3">
        <w:rPr>
          <w:b/>
          <w:bCs/>
          <w:sz w:val="26"/>
          <w:szCs w:val="26"/>
          <w:lang w:val="es-ES"/>
        </w:rPr>
        <w:t>GEMA 5.</w:t>
      </w:r>
      <w:r w:rsidR="00FA2227">
        <w:rPr>
          <w:b/>
          <w:bCs/>
          <w:sz w:val="26"/>
          <w:szCs w:val="26"/>
          <w:lang w:val="es-ES"/>
        </w:rPr>
        <w:t>2</w:t>
      </w:r>
      <w:r w:rsidR="00360C38" w:rsidRPr="007522D3">
        <w:rPr>
          <w:b/>
          <w:bCs/>
          <w:sz w:val="26"/>
          <w:szCs w:val="26"/>
          <w:lang w:val="es-ES"/>
        </w:rPr>
        <w:t xml:space="preserve">, LA </w:t>
      </w:r>
      <w:r w:rsidR="007418EA" w:rsidRPr="007522D3">
        <w:rPr>
          <w:b/>
          <w:bCs/>
          <w:sz w:val="26"/>
          <w:szCs w:val="26"/>
          <w:lang w:val="es-ES"/>
        </w:rPr>
        <w:t>ACTUALIZACIÓN DE</w:t>
      </w:r>
      <w:r w:rsidRPr="007522D3">
        <w:rPr>
          <w:b/>
          <w:bCs/>
          <w:sz w:val="26"/>
          <w:szCs w:val="26"/>
          <w:lang w:val="es-ES"/>
        </w:rPr>
        <w:t xml:space="preserve"> </w:t>
      </w:r>
      <w:r w:rsidR="007418EA" w:rsidRPr="007522D3">
        <w:rPr>
          <w:b/>
          <w:bCs/>
          <w:sz w:val="26"/>
          <w:szCs w:val="26"/>
          <w:lang w:val="es-ES"/>
        </w:rPr>
        <w:t xml:space="preserve">LA GUÍA </w:t>
      </w:r>
      <w:r w:rsidR="003701BA" w:rsidRPr="007522D3">
        <w:rPr>
          <w:b/>
          <w:bCs/>
          <w:sz w:val="26"/>
          <w:szCs w:val="26"/>
          <w:lang w:val="es-ES"/>
        </w:rPr>
        <w:t>DE</w:t>
      </w:r>
      <w:r w:rsidRPr="007522D3">
        <w:rPr>
          <w:b/>
          <w:bCs/>
          <w:sz w:val="26"/>
          <w:szCs w:val="26"/>
          <w:lang w:val="es-ES"/>
        </w:rPr>
        <w:t xml:space="preserve"> MANEJO DE ASMA </w:t>
      </w:r>
      <w:r w:rsidR="003701BA" w:rsidRPr="007522D3">
        <w:rPr>
          <w:b/>
          <w:bCs/>
          <w:sz w:val="26"/>
          <w:szCs w:val="26"/>
          <w:lang w:val="es-ES"/>
        </w:rPr>
        <w:t xml:space="preserve">EN ESPAÑOL </w:t>
      </w:r>
      <w:r w:rsidR="00360C38" w:rsidRPr="007522D3">
        <w:rPr>
          <w:b/>
          <w:bCs/>
          <w:sz w:val="26"/>
          <w:szCs w:val="26"/>
          <w:lang w:val="es-ES"/>
        </w:rPr>
        <w:t>REFERENTE</w:t>
      </w:r>
      <w:r w:rsidRPr="007522D3">
        <w:rPr>
          <w:b/>
          <w:bCs/>
          <w:sz w:val="26"/>
          <w:szCs w:val="26"/>
          <w:lang w:val="es-ES"/>
        </w:rPr>
        <w:t xml:space="preserve"> A NIVEL MUNDIAL</w:t>
      </w:r>
    </w:p>
    <w:p w14:paraId="517CBFDE" w14:textId="77777777" w:rsidR="00A850A6" w:rsidRPr="00662D54" w:rsidRDefault="00A850A6" w:rsidP="001922A1">
      <w:pPr>
        <w:jc w:val="both"/>
        <w:rPr>
          <w:b/>
          <w:bCs/>
          <w:lang w:val="es-ES"/>
        </w:rPr>
      </w:pPr>
    </w:p>
    <w:p w14:paraId="6310D12E" w14:textId="04361D13" w:rsidR="00BE61FE" w:rsidRPr="00C9465F" w:rsidRDefault="00C9465F" w:rsidP="001922A1">
      <w:pPr>
        <w:pStyle w:val="Prrafodelista"/>
        <w:numPr>
          <w:ilvl w:val="0"/>
          <w:numId w:val="16"/>
        </w:numPr>
        <w:jc w:val="both"/>
        <w:rPr>
          <w:lang w:val="es-ES"/>
        </w:rPr>
      </w:pPr>
      <w:r>
        <w:rPr>
          <w:color w:val="000000" w:themeColor="text1"/>
          <w:lang w:val="es-ES"/>
        </w:rPr>
        <w:t>Las principales novedades de esta actualización atañen a los capítulos de tratamiento de mantenimiento del asma grave</w:t>
      </w:r>
      <w:r w:rsidRPr="00C9465F">
        <w:rPr>
          <w:lang w:val="es-ES"/>
        </w:rPr>
        <w:t xml:space="preserve">, </w:t>
      </w:r>
      <w:r w:rsidRPr="00C9465F">
        <w:rPr>
          <w:rFonts w:eastAsia="Times New Roman" w:cs="Times New Roman"/>
          <w:lang w:val="es-ES" w:eastAsia="es-ES"/>
        </w:rPr>
        <w:t>rinitis y rinosinusitis asociadas al asma, asma grave no controlada y circunstancias especiales</w:t>
      </w:r>
    </w:p>
    <w:p w14:paraId="771A9D71" w14:textId="44260969" w:rsidR="00BF79E0" w:rsidRPr="00A850A6" w:rsidRDefault="00CA2867" w:rsidP="001922A1">
      <w:pPr>
        <w:pStyle w:val="Prrafodelista"/>
        <w:numPr>
          <w:ilvl w:val="0"/>
          <w:numId w:val="16"/>
        </w:numPr>
        <w:spacing w:after="360"/>
        <w:jc w:val="both"/>
        <w:rPr>
          <w:b/>
          <w:bCs/>
          <w:lang w:val="es-ES"/>
        </w:rPr>
      </w:pPr>
      <w:r>
        <w:rPr>
          <w:lang w:val="es-ES"/>
        </w:rPr>
        <w:t xml:space="preserve">Como acción complementaria a la actualización de GEMA, SEPAR y Luzán 5 </w:t>
      </w:r>
      <w:r w:rsidR="00FA2227">
        <w:rPr>
          <w:lang w:val="es-ES"/>
        </w:rPr>
        <w:t>ofertan</w:t>
      </w:r>
      <w:r>
        <w:rPr>
          <w:lang w:val="es-ES"/>
        </w:rPr>
        <w:t xml:space="preserve"> una </w:t>
      </w:r>
      <w:r w:rsidR="00FA2227">
        <w:rPr>
          <w:lang w:val="es-ES"/>
        </w:rPr>
        <w:t>tercera</w:t>
      </w:r>
      <w:r>
        <w:rPr>
          <w:lang w:val="es-ES"/>
        </w:rPr>
        <w:t xml:space="preserve"> edición del curso online de Experto Universitario en Tratamiento Biológico del Asma</w:t>
      </w:r>
    </w:p>
    <w:p w14:paraId="66C83B69" w14:textId="77777777" w:rsidR="00A850A6" w:rsidRPr="005F50B7" w:rsidRDefault="00A850A6" w:rsidP="001922A1">
      <w:pPr>
        <w:pStyle w:val="Prrafodelista"/>
        <w:spacing w:after="360"/>
        <w:jc w:val="both"/>
        <w:rPr>
          <w:b/>
          <w:bCs/>
          <w:lang w:val="es-ES"/>
        </w:rPr>
      </w:pPr>
    </w:p>
    <w:p w14:paraId="5E4AF9BD" w14:textId="446A7D97" w:rsidR="00D11F87" w:rsidRPr="00524475" w:rsidRDefault="000B370E" w:rsidP="001922A1">
      <w:pPr>
        <w:spacing w:after="360"/>
        <w:jc w:val="both"/>
        <w:rPr>
          <w:lang w:val="es-ES"/>
        </w:rPr>
      </w:pPr>
      <w:r w:rsidRPr="00524475">
        <w:rPr>
          <w:b/>
          <w:bCs/>
          <w:lang w:val="es-ES"/>
        </w:rPr>
        <w:t xml:space="preserve">Madrid, </w:t>
      </w:r>
      <w:r w:rsidR="00FA2227" w:rsidRPr="00524475">
        <w:rPr>
          <w:b/>
          <w:bCs/>
          <w:lang w:val="es-ES"/>
        </w:rPr>
        <w:t>3</w:t>
      </w:r>
      <w:r w:rsidR="00FA1434" w:rsidRPr="00524475">
        <w:rPr>
          <w:b/>
          <w:bCs/>
          <w:lang w:val="es-ES"/>
        </w:rPr>
        <w:t xml:space="preserve"> </w:t>
      </w:r>
      <w:r w:rsidRPr="00524475">
        <w:rPr>
          <w:b/>
          <w:bCs/>
          <w:lang w:val="es-ES"/>
        </w:rPr>
        <w:t xml:space="preserve">de </w:t>
      </w:r>
      <w:r w:rsidR="007418EA" w:rsidRPr="00524475">
        <w:rPr>
          <w:b/>
          <w:bCs/>
          <w:lang w:val="es-ES"/>
        </w:rPr>
        <w:t xml:space="preserve">mayo </w:t>
      </w:r>
      <w:r w:rsidRPr="00524475">
        <w:rPr>
          <w:b/>
          <w:bCs/>
          <w:lang w:val="es-ES"/>
        </w:rPr>
        <w:t>de 202</w:t>
      </w:r>
      <w:r w:rsidR="00585797" w:rsidRPr="00524475">
        <w:rPr>
          <w:b/>
          <w:bCs/>
          <w:lang w:val="es-ES"/>
        </w:rPr>
        <w:t>2</w:t>
      </w:r>
      <w:r w:rsidRPr="00524475">
        <w:rPr>
          <w:b/>
          <w:bCs/>
          <w:lang w:val="es-ES"/>
        </w:rPr>
        <w:t>.</w:t>
      </w:r>
      <w:r w:rsidR="008C4662" w:rsidRPr="00524475">
        <w:rPr>
          <w:b/>
          <w:bCs/>
          <w:lang w:val="es-ES"/>
        </w:rPr>
        <w:t xml:space="preserve"> </w:t>
      </w:r>
      <w:r w:rsidR="003701BA" w:rsidRPr="00524475">
        <w:rPr>
          <w:lang w:val="es-ES"/>
        </w:rPr>
        <w:t>Coincidiendo con el día mundial del asma</w:t>
      </w:r>
      <w:r w:rsidR="00360C38" w:rsidRPr="00524475">
        <w:rPr>
          <w:lang w:val="es-ES"/>
        </w:rPr>
        <w:t>,</w:t>
      </w:r>
      <w:r w:rsidR="003701BA" w:rsidRPr="00524475">
        <w:rPr>
          <w:lang w:val="es-ES"/>
        </w:rPr>
        <w:t xml:space="preserve"> </w:t>
      </w:r>
      <w:r w:rsidR="00440147" w:rsidRPr="00524475">
        <w:rPr>
          <w:lang w:val="es-ES"/>
        </w:rPr>
        <w:t>se ha publicado</w:t>
      </w:r>
      <w:r w:rsidR="00D11F87" w:rsidRPr="00524475">
        <w:rPr>
          <w:lang w:val="es-ES"/>
        </w:rPr>
        <w:t xml:space="preserve"> la </w:t>
      </w:r>
      <w:r w:rsidR="003701BA" w:rsidRPr="00524475">
        <w:rPr>
          <w:lang w:val="es-ES"/>
        </w:rPr>
        <w:t>actualización del año 202</w:t>
      </w:r>
      <w:r w:rsidR="00FA2227" w:rsidRPr="00524475">
        <w:rPr>
          <w:lang w:val="es-ES"/>
        </w:rPr>
        <w:t>2</w:t>
      </w:r>
      <w:r w:rsidR="003701BA" w:rsidRPr="00524475">
        <w:rPr>
          <w:lang w:val="es-ES"/>
        </w:rPr>
        <w:t xml:space="preserve"> de la Guía Española para el Manejo del Asma (GEMA)</w:t>
      </w:r>
      <w:r w:rsidR="00A80B7B" w:rsidRPr="00524475">
        <w:rPr>
          <w:lang w:val="es-ES"/>
        </w:rPr>
        <w:t xml:space="preserve">, disponible para descarga de forma gratuita en </w:t>
      </w:r>
      <w:hyperlink r:id="rId8" w:history="1">
        <w:r w:rsidR="00A80B7B" w:rsidRPr="002B1CF2">
          <w:rPr>
            <w:rStyle w:val="Hipervnculo"/>
            <w:lang w:val="es-ES"/>
          </w:rPr>
          <w:t>www.gemasma.com</w:t>
        </w:r>
      </w:hyperlink>
      <w:r w:rsidR="00E02123" w:rsidRPr="00524475">
        <w:rPr>
          <w:lang w:val="es-ES"/>
        </w:rPr>
        <w:t xml:space="preserve">. </w:t>
      </w:r>
      <w:r w:rsidR="00440147" w:rsidRPr="00524475">
        <w:rPr>
          <w:lang w:val="es-ES"/>
        </w:rPr>
        <w:t>La nueva GEMA 5.</w:t>
      </w:r>
      <w:r w:rsidR="00FA2227" w:rsidRPr="00524475">
        <w:rPr>
          <w:lang w:val="es-ES"/>
        </w:rPr>
        <w:t>2</w:t>
      </w:r>
      <w:r w:rsidR="00440147" w:rsidRPr="00524475">
        <w:rPr>
          <w:lang w:val="es-ES"/>
        </w:rPr>
        <w:t xml:space="preserve"> incorpora las citas bibliográficas más relevantes publicadas en el últim</w:t>
      </w:r>
      <w:r w:rsidR="00FA2227" w:rsidRPr="00524475">
        <w:rPr>
          <w:lang w:val="es-ES"/>
        </w:rPr>
        <w:t>o ejercicio</w:t>
      </w:r>
      <w:r w:rsidR="00A80B7B" w:rsidRPr="00524475">
        <w:rPr>
          <w:lang w:val="es-ES"/>
        </w:rPr>
        <w:t>.</w:t>
      </w:r>
    </w:p>
    <w:p w14:paraId="6ADE828C" w14:textId="63768DA0" w:rsidR="002E6411" w:rsidRPr="00524475" w:rsidRDefault="002E6411" w:rsidP="001922A1">
      <w:pPr>
        <w:spacing w:after="360"/>
        <w:jc w:val="both"/>
        <w:rPr>
          <w:b/>
          <w:bCs/>
          <w:lang w:val="es-ES"/>
        </w:rPr>
      </w:pPr>
      <w:r w:rsidRPr="00524475">
        <w:rPr>
          <w:lang w:val="es-ES"/>
        </w:rPr>
        <w:t xml:space="preserve">La </w:t>
      </w:r>
      <w:r w:rsidRPr="00524475">
        <w:rPr>
          <w:b/>
          <w:bCs/>
          <w:lang w:val="es-ES"/>
        </w:rPr>
        <w:t xml:space="preserve">principal novedad </w:t>
      </w:r>
      <w:r w:rsidRPr="00524475">
        <w:rPr>
          <w:lang w:val="es-ES"/>
        </w:rPr>
        <w:t xml:space="preserve">de esta actualización se encuentra en la incorporación de la </w:t>
      </w:r>
      <w:r w:rsidRPr="00524475">
        <w:rPr>
          <w:b/>
          <w:bCs/>
          <w:lang w:val="es-ES"/>
        </w:rPr>
        <w:t>nueva combinación</w:t>
      </w:r>
      <w:r w:rsidRPr="00524475">
        <w:rPr>
          <w:lang w:val="es-ES"/>
        </w:rPr>
        <w:t xml:space="preserve"> de </w:t>
      </w:r>
      <w:r w:rsidRPr="00524475">
        <w:rPr>
          <w:i/>
          <w:iCs/>
          <w:lang w:val="es-ES"/>
        </w:rPr>
        <w:t>indacaterol</w:t>
      </w:r>
      <w:r w:rsidRPr="00524475">
        <w:rPr>
          <w:lang w:val="es-ES"/>
        </w:rPr>
        <w:t xml:space="preserve"> y </w:t>
      </w:r>
      <w:r w:rsidRPr="00524475">
        <w:rPr>
          <w:i/>
          <w:iCs/>
          <w:lang w:val="es-ES"/>
        </w:rPr>
        <w:t xml:space="preserve">mometasona </w:t>
      </w:r>
      <w:r w:rsidRPr="00524475">
        <w:rPr>
          <w:lang w:val="es-ES"/>
        </w:rPr>
        <w:t xml:space="preserve">para el </w:t>
      </w:r>
      <w:r w:rsidRPr="00524475">
        <w:rPr>
          <w:b/>
          <w:bCs/>
          <w:lang w:val="es-ES"/>
        </w:rPr>
        <w:t>tratamiento de mantenimiento</w:t>
      </w:r>
      <w:r w:rsidRPr="00524475">
        <w:rPr>
          <w:lang w:val="es-ES"/>
        </w:rPr>
        <w:t xml:space="preserve"> del asma grave. </w:t>
      </w:r>
      <w:r w:rsidR="005B31E5" w:rsidRPr="00524475">
        <w:rPr>
          <w:lang w:val="es-ES"/>
        </w:rPr>
        <w:t xml:space="preserve">El </w:t>
      </w:r>
      <w:r w:rsidR="005B31E5" w:rsidRPr="00524475">
        <w:rPr>
          <w:b/>
          <w:bCs/>
          <w:lang w:val="es-ES"/>
        </w:rPr>
        <w:t>Dr</w:t>
      </w:r>
      <w:r w:rsidR="005B31E5" w:rsidRPr="00524475">
        <w:rPr>
          <w:lang w:val="es-ES"/>
        </w:rPr>
        <w:t xml:space="preserve">. </w:t>
      </w:r>
      <w:r w:rsidRPr="00524475">
        <w:rPr>
          <w:b/>
          <w:bCs/>
          <w:lang w:val="es-ES"/>
        </w:rPr>
        <w:t>Vicente Plaza,</w:t>
      </w:r>
      <w:r w:rsidRPr="00524475">
        <w:rPr>
          <w:lang w:val="es-ES"/>
        </w:rPr>
        <w:t xml:space="preserve"> coordinador de la guía, explica que esta </w:t>
      </w:r>
      <w:r w:rsidR="007964A2" w:rsidRPr="00524475">
        <w:rPr>
          <w:lang w:val="es-ES"/>
        </w:rPr>
        <w:t xml:space="preserve">nueva indicación de un agonista adrenérgico </w:t>
      </w:r>
      <w:r w:rsidR="007964A2" w:rsidRPr="00524475">
        <w:rPr>
          <w:rFonts w:cs="Arial"/>
          <w:color w:val="4D5156"/>
          <w:shd w:val="clear" w:color="auto" w:fill="FFFFFF"/>
          <w:lang w:val="es-ES"/>
        </w:rPr>
        <w:t>ß2 de acción prolongada,</w:t>
      </w:r>
      <w:r w:rsidRPr="00524475">
        <w:rPr>
          <w:lang w:val="es-ES"/>
        </w:rPr>
        <w:t xml:space="preserve"> “juega un papel importante para los prescriptores, al dotarles de un</w:t>
      </w:r>
      <w:r w:rsidR="007964A2" w:rsidRPr="00524475">
        <w:rPr>
          <w:lang w:val="es-ES"/>
        </w:rPr>
        <w:t xml:space="preserve"> </w:t>
      </w:r>
      <w:r w:rsidR="007964A2" w:rsidRPr="00524475">
        <w:rPr>
          <w:rStyle w:val="nfasis"/>
          <w:rFonts w:asciiTheme="minorHAnsi" w:hAnsiTheme="minorHAnsi" w:cs="Arial"/>
          <w:i w:val="0"/>
          <w:iCs w:val="0"/>
          <w:shd w:val="clear" w:color="auto" w:fill="FFFFFF"/>
          <w:lang w:val="es-ES"/>
        </w:rPr>
        <w:t>LABA</w:t>
      </w:r>
      <w:r w:rsidRPr="00524475">
        <w:rPr>
          <w:lang w:val="es-ES"/>
        </w:rPr>
        <w:t xml:space="preserve"> </w:t>
      </w:r>
      <w:r w:rsidR="007964A2" w:rsidRPr="00524475">
        <w:rPr>
          <w:lang w:val="es-ES"/>
        </w:rPr>
        <w:t xml:space="preserve">muy bueno </w:t>
      </w:r>
      <w:r w:rsidRPr="00524475">
        <w:rPr>
          <w:lang w:val="es-ES"/>
        </w:rPr>
        <w:t xml:space="preserve">que </w:t>
      </w:r>
      <w:r w:rsidR="007B7A59" w:rsidRPr="00524475">
        <w:rPr>
          <w:lang w:val="es-ES"/>
        </w:rPr>
        <w:t xml:space="preserve">se prescribe desde hace años para la </w:t>
      </w:r>
      <w:r w:rsidRPr="00524475">
        <w:rPr>
          <w:lang w:val="es-ES"/>
        </w:rPr>
        <w:t>EPOC</w:t>
      </w:r>
      <w:r w:rsidR="007964A2" w:rsidRPr="00524475">
        <w:rPr>
          <w:lang w:val="es-ES"/>
        </w:rPr>
        <w:t>,</w:t>
      </w:r>
      <w:r w:rsidRPr="00524475">
        <w:rPr>
          <w:lang w:val="es-ES"/>
        </w:rPr>
        <w:t xml:space="preserve"> pero que no estaba indicado en asma”. </w:t>
      </w:r>
    </w:p>
    <w:p w14:paraId="2215266E" w14:textId="77777777" w:rsidR="00FE1EA4" w:rsidRDefault="00801EC2" w:rsidP="00FE1EA4">
      <w:pPr>
        <w:spacing w:after="360"/>
        <w:jc w:val="both"/>
        <w:rPr>
          <w:lang w:val="es-ES"/>
        </w:rPr>
      </w:pPr>
      <w:r w:rsidRPr="00524475">
        <w:rPr>
          <w:lang w:val="es-ES"/>
        </w:rPr>
        <w:t xml:space="preserve">Asimismo, el experto destaca otra </w:t>
      </w:r>
      <w:r w:rsidRPr="00524475">
        <w:rPr>
          <w:b/>
          <w:bCs/>
          <w:lang w:val="es-ES"/>
        </w:rPr>
        <w:t xml:space="preserve">nueva </w:t>
      </w:r>
      <w:r w:rsidR="00030D35" w:rsidRPr="00524475">
        <w:rPr>
          <w:b/>
          <w:bCs/>
          <w:lang w:val="es-ES"/>
        </w:rPr>
        <w:t>incorporación</w:t>
      </w:r>
      <w:r w:rsidRPr="00524475">
        <w:rPr>
          <w:lang w:val="es-ES"/>
        </w:rPr>
        <w:t xml:space="preserve"> que recoge la GEMA 5.2</w:t>
      </w:r>
      <w:r w:rsidR="00030D35" w:rsidRPr="00524475">
        <w:rPr>
          <w:lang w:val="es-ES"/>
        </w:rPr>
        <w:t xml:space="preserve"> en el capítulo de </w:t>
      </w:r>
      <w:r w:rsidR="00030D35" w:rsidRPr="00524475">
        <w:rPr>
          <w:b/>
          <w:bCs/>
          <w:lang w:val="es-ES"/>
        </w:rPr>
        <w:t>formas especiales de asma</w:t>
      </w:r>
      <w:r w:rsidRPr="00524475">
        <w:rPr>
          <w:lang w:val="es-ES"/>
        </w:rPr>
        <w:t xml:space="preserve">. Se trata de la </w:t>
      </w:r>
      <w:r w:rsidR="00030D35" w:rsidRPr="00524475">
        <w:rPr>
          <w:lang w:val="es-ES"/>
        </w:rPr>
        <w:t>indicación</w:t>
      </w:r>
      <w:r w:rsidRPr="00524475">
        <w:rPr>
          <w:lang w:val="es-ES"/>
        </w:rPr>
        <w:t xml:space="preserve"> de </w:t>
      </w:r>
      <w:r w:rsidRPr="00524475">
        <w:rPr>
          <w:i/>
          <w:iCs/>
          <w:lang w:val="es-ES"/>
        </w:rPr>
        <w:t>mepolizumab</w:t>
      </w:r>
      <w:r w:rsidRPr="00524475">
        <w:rPr>
          <w:lang w:val="es-ES"/>
        </w:rPr>
        <w:t xml:space="preserve"> en el tratamiento de la </w:t>
      </w:r>
      <w:proofErr w:type="spellStart"/>
      <w:r w:rsidRPr="00524475">
        <w:rPr>
          <w:lang w:val="es-ES"/>
        </w:rPr>
        <w:t>granulomatosis</w:t>
      </w:r>
      <w:proofErr w:type="spellEnd"/>
      <w:r w:rsidRPr="00524475">
        <w:rPr>
          <w:lang w:val="es-ES"/>
        </w:rPr>
        <w:t xml:space="preserve"> eosinofílica con </w:t>
      </w:r>
      <w:proofErr w:type="spellStart"/>
      <w:r w:rsidRPr="00524475">
        <w:rPr>
          <w:lang w:val="es-ES"/>
        </w:rPr>
        <w:t>poliangeítis</w:t>
      </w:r>
      <w:proofErr w:type="spellEnd"/>
      <w:r w:rsidRPr="00524475">
        <w:rPr>
          <w:lang w:val="es-ES"/>
        </w:rPr>
        <w:t xml:space="preserve"> (GEPA) y del síndrome hipereosinofílico idiopático (SHE). </w:t>
      </w:r>
      <w:r w:rsidR="0023697C" w:rsidRPr="00524475">
        <w:rPr>
          <w:lang w:val="es-ES"/>
        </w:rPr>
        <w:t xml:space="preserve">“Es una novedad importante porque constituye la primera vez que tenemos prescripción de una </w:t>
      </w:r>
      <w:r w:rsidR="0023697C" w:rsidRPr="00524475">
        <w:rPr>
          <w:b/>
          <w:bCs/>
          <w:lang w:val="es-ES"/>
        </w:rPr>
        <w:t>terapia biológica</w:t>
      </w:r>
      <w:r w:rsidR="0023697C" w:rsidRPr="00524475">
        <w:rPr>
          <w:lang w:val="es-ES"/>
        </w:rPr>
        <w:t xml:space="preserve"> que no se utiliza exclusivamente para asma, sino que también se relaciona con otra enfermedad, lo que abre una nueva dimensión”, tal y como asegura el Dr. Plaza. </w:t>
      </w:r>
    </w:p>
    <w:p w14:paraId="464BAAE4" w14:textId="58111310" w:rsidR="00FE1EA4" w:rsidRDefault="00EC7DB9" w:rsidP="00FE1EA4">
      <w:pPr>
        <w:spacing w:after="360"/>
        <w:jc w:val="both"/>
        <w:rPr>
          <w:lang w:val="es-ES"/>
        </w:rPr>
      </w:pPr>
      <w:r w:rsidRPr="00524475">
        <w:rPr>
          <w:lang w:val="es-ES"/>
        </w:rPr>
        <w:t xml:space="preserve">Otra actualización destacable es la inclusión de un </w:t>
      </w:r>
      <w:r w:rsidRPr="00524475">
        <w:rPr>
          <w:b/>
          <w:bCs/>
          <w:lang w:val="es-ES"/>
        </w:rPr>
        <w:t>algoritmo</w:t>
      </w:r>
      <w:r w:rsidRPr="00524475">
        <w:rPr>
          <w:lang w:val="es-ES"/>
        </w:rPr>
        <w:t xml:space="preserve"> para la reducción y retirada segura de los glucocorticoides orales. De este modo, GEMA se convierte en la primera guía en ayudar al médi</w:t>
      </w:r>
      <w:r w:rsidR="00FF7F11" w:rsidRPr="00524475">
        <w:rPr>
          <w:lang w:val="es-ES"/>
        </w:rPr>
        <w:t>co</w:t>
      </w:r>
      <w:r w:rsidRPr="00524475">
        <w:rPr>
          <w:lang w:val="es-ES"/>
        </w:rPr>
        <w:t xml:space="preserve"> a hacer un </w:t>
      </w:r>
      <w:r w:rsidRPr="00524475">
        <w:rPr>
          <w:b/>
          <w:bCs/>
          <w:lang w:val="es-ES"/>
        </w:rPr>
        <w:t>descenso seguro de los corticoides orales</w:t>
      </w:r>
      <w:r w:rsidRPr="00524475">
        <w:rPr>
          <w:lang w:val="es-ES"/>
        </w:rPr>
        <w:t xml:space="preserve">. El Dr. </w:t>
      </w:r>
      <w:r w:rsidRPr="00524475">
        <w:rPr>
          <w:b/>
          <w:bCs/>
          <w:lang w:val="es-ES"/>
        </w:rPr>
        <w:t>Gabriel García</w:t>
      </w:r>
      <w:r w:rsidRPr="00524475">
        <w:rPr>
          <w:lang w:val="es-ES"/>
        </w:rPr>
        <w:t xml:space="preserve">, </w:t>
      </w:r>
      <w:r w:rsidR="008C5B14">
        <w:rPr>
          <w:lang w:val="es-ES"/>
        </w:rPr>
        <w:t xml:space="preserve">coordinador de la guía como representante de ALAT (Asociación Latinoamericana de </w:t>
      </w:r>
      <w:r w:rsidR="0020112B">
        <w:rPr>
          <w:lang w:val="es-ES"/>
        </w:rPr>
        <w:t>Tórax)</w:t>
      </w:r>
      <w:r w:rsidRPr="00524475">
        <w:rPr>
          <w:lang w:val="es-ES"/>
        </w:rPr>
        <w:t>,</w:t>
      </w:r>
      <w:r w:rsidRPr="00524475">
        <w:rPr>
          <w:b/>
          <w:bCs/>
          <w:lang w:val="es-ES"/>
        </w:rPr>
        <w:t xml:space="preserve"> </w:t>
      </w:r>
      <w:r w:rsidRPr="00524475">
        <w:rPr>
          <w:lang w:val="es-ES"/>
        </w:rPr>
        <w:t>celebra esta novedad e insiste en que</w:t>
      </w:r>
      <w:r w:rsidR="00FF7F11" w:rsidRPr="00524475">
        <w:rPr>
          <w:lang w:val="es-ES"/>
        </w:rPr>
        <w:t xml:space="preserve"> “el </w:t>
      </w:r>
      <w:r w:rsidR="00FF7F11" w:rsidRPr="00FE1EA4">
        <w:rPr>
          <w:b/>
          <w:bCs/>
          <w:lang w:val="es-ES"/>
        </w:rPr>
        <w:t>uso prolongado</w:t>
      </w:r>
      <w:r w:rsidR="00FF7F11" w:rsidRPr="00524475">
        <w:rPr>
          <w:lang w:val="es-ES"/>
        </w:rPr>
        <w:t xml:space="preserve"> de corticoides orales representa un </w:t>
      </w:r>
      <w:r w:rsidR="00FF7F11" w:rsidRPr="00FE1EA4">
        <w:rPr>
          <w:b/>
          <w:bCs/>
          <w:lang w:val="es-ES"/>
        </w:rPr>
        <w:t>grave problema</w:t>
      </w:r>
      <w:r w:rsidR="00FF7F11" w:rsidRPr="00524475">
        <w:rPr>
          <w:lang w:val="es-ES"/>
        </w:rPr>
        <w:t xml:space="preserve">, no sólo por los efectos colaterales que todos conocemos, sino también por la insuficiencia suprarrenal secundaria”. Este especialista asegura así, que “la llegada de los biológicos ha traído una solución para este problema”. </w:t>
      </w:r>
    </w:p>
    <w:p w14:paraId="6FEBF4FF" w14:textId="77777777" w:rsidR="00E20BAD" w:rsidRPr="00524475" w:rsidRDefault="00E20BAD" w:rsidP="001922A1">
      <w:pPr>
        <w:jc w:val="both"/>
        <w:rPr>
          <w:b/>
          <w:bCs/>
          <w:lang w:val="es-ES"/>
        </w:rPr>
      </w:pPr>
    </w:p>
    <w:p w14:paraId="58B6F173" w14:textId="046474AD" w:rsidR="00437BCD" w:rsidRPr="00524475" w:rsidRDefault="00000F1E" w:rsidP="001922A1">
      <w:pPr>
        <w:jc w:val="both"/>
        <w:rPr>
          <w:b/>
          <w:bCs/>
          <w:lang w:val="es-ES"/>
        </w:rPr>
      </w:pPr>
      <w:r>
        <w:rPr>
          <w:b/>
          <w:bCs/>
          <w:lang w:val="es-ES"/>
        </w:rPr>
        <w:lastRenderedPageBreak/>
        <w:t>FORMACIÓN EN TERAPIA BIO</w:t>
      </w:r>
      <w:r w:rsidR="00CE7EFF">
        <w:rPr>
          <w:b/>
          <w:bCs/>
          <w:lang w:val="es-ES"/>
        </w:rPr>
        <w:t>L</w:t>
      </w:r>
      <w:r>
        <w:rPr>
          <w:b/>
          <w:bCs/>
          <w:lang w:val="es-ES"/>
        </w:rPr>
        <w:t>ÓGICA</w:t>
      </w:r>
    </w:p>
    <w:p w14:paraId="775F9F1B" w14:textId="26497BB3" w:rsidR="00437BCD" w:rsidRPr="00524475" w:rsidRDefault="00437BCD" w:rsidP="001922A1">
      <w:pPr>
        <w:jc w:val="both"/>
        <w:rPr>
          <w:lang w:val="es-ES"/>
        </w:rPr>
      </w:pPr>
      <w:r w:rsidRPr="00524475">
        <w:rPr>
          <w:lang w:val="es-ES"/>
        </w:rPr>
        <w:t xml:space="preserve">De la mano de esta actualización de GEMA, llega también la revisión de la </w:t>
      </w:r>
      <w:r w:rsidR="00C90797">
        <w:rPr>
          <w:lang w:val="es-ES"/>
        </w:rPr>
        <w:t>“</w:t>
      </w:r>
      <w:hyperlink r:id="rId9" w:history="1">
        <w:r w:rsidRPr="002B1CF2">
          <w:rPr>
            <w:rStyle w:val="Hipervnculo"/>
            <w:lang w:val="es-ES"/>
          </w:rPr>
          <w:t>3ª ed. Curso Experto Universitario en Tratamiento Biológico del Asma</w:t>
        </w:r>
      </w:hyperlink>
      <w:r w:rsidR="00C90797">
        <w:rPr>
          <w:lang w:val="es-ES"/>
        </w:rPr>
        <w:t>”</w:t>
      </w:r>
      <w:r w:rsidRPr="00524475">
        <w:rPr>
          <w:lang w:val="es-ES"/>
        </w:rPr>
        <w:t>, una formación 100% online promovida por GEMA, que cuenta además con el respaldo de</w:t>
      </w:r>
      <w:r w:rsidR="00744DF5">
        <w:rPr>
          <w:lang w:val="es-ES"/>
        </w:rPr>
        <w:t xml:space="preserve"> la Sociedad Española de Neumología y Cirugía Torácica (</w:t>
      </w:r>
      <w:r w:rsidRPr="00524475">
        <w:rPr>
          <w:lang w:val="es-ES"/>
        </w:rPr>
        <w:t>SEPAR</w:t>
      </w:r>
      <w:r w:rsidR="00744DF5">
        <w:rPr>
          <w:lang w:val="es-ES"/>
        </w:rPr>
        <w:t>)</w:t>
      </w:r>
      <w:r w:rsidRPr="00524475">
        <w:rPr>
          <w:lang w:val="es-ES"/>
        </w:rPr>
        <w:t xml:space="preserve">, y que incluye todas las novedades de GEMA 5.2 </w:t>
      </w:r>
      <w:r w:rsidR="00524475" w:rsidRPr="00524475">
        <w:rPr>
          <w:lang w:val="es-ES"/>
        </w:rPr>
        <w:t>en relación con</w:t>
      </w:r>
      <w:r w:rsidRPr="00524475">
        <w:rPr>
          <w:lang w:val="es-ES"/>
        </w:rPr>
        <w:t xml:space="preserve"> este tipo de terapias. </w:t>
      </w:r>
    </w:p>
    <w:p w14:paraId="52E267BB" w14:textId="64A9C781" w:rsidR="00437BCD" w:rsidRDefault="00437BCD" w:rsidP="001922A1">
      <w:pPr>
        <w:jc w:val="both"/>
        <w:rPr>
          <w:lang w:val="es-ES"/>
        </w:rPr>
      </w:pPr>
      <w:r w:rsidRPr="00524475">
        <w:rPr>
          <w:lang w:val="es-ES"/>
        </w:rPr>
        <w:t xml:space="preserve">El programa, dirigido a neumólogos, alergólogos y farmacéuticos hospitalarios interesados en asma grave, tiene como propósito la actualización de estos </w:t>
      </w:r>
      <w:r w:rsidR="00524475" w:rsidRPr="00524475">
        <w:rPr>
          <w:lang w:val="es-ES"/>
        </w:rPr>
        <w:t xml:space="preserve">especialistas en los criterios de elección de las terapias, de manera que puedan mejorar los resultados en salud de sus pacientes personalizando al máximo el tratamiento. </w:t>
      </w:r>
    </w:p>
    <w:p w14:paraId="782A0156" w14:textId="4664C440" w:rsidR="00C90797" w:rsidRDefault="00524475" w:rsidP="0038343D">
      <w:pPr>
        <w:jc w:val="both"/>
        <w:rPr>
          <w:lang w:val="es-ES"/>
        </w:rPr>
      </w:pPr>
      <w:r>
        <w:rPr>
          <w:lang w:val="es-ES"/>
        </w:rPr>
        <w:t xml:space="preserve">El Dr. Plaza, miembro del comité científico del curso, subraya la necesidad de estar al día en estos tratamientos ya que </w:t>
      </w:r>
      <w:r w:rsidRPr="0038343D">
        <w:rPr>
          <w:b/>
          <w:bCs/>
          <w:lang w:val="es-ES"/>
        </w:rPr>
        <w:t>“el mundo de los biológicos cambia de año en año”.</w:t>
      </w:r>
      <w:r>
        <w:rPr>
          <w:lang w:val="es-ES"/>
        </w:rPr>
        <w:t xml:space="preserve"> </w:t>
      </w:r>
      <w:r w:rsidR="00C90797">
        <w:rPr>
          <w:lang w:val="es-ES"/>
        </w:rPr>
        <w:t>El curso consta de 375 horas de duración a realizar en 11 meses. El alumno puede inscribirse y empezar en cualquier momento hasta el próximo 30 de diciembre y contará con 11 meses para finalizarlo desde la matrícula. Quienes lo superen obtendrán 15 ECTS.</w:t>
      </w:r>
    </w:p>
    <w:p w14:paraId="2A3A12C6" w14:textId="74E18D1A" w:rsidR="0038343D" w:rsidRDefault="0038343D" w:rsidP="0038343D">
      <w:pPr>
        <w:jc w:val="both"/>
        <w:rPr>
          <w:lang w:val="es-ES"/>
        </w:rPr>
      </w:pPr>
      <w:r>
        <w:rPr>
          <w:lang w:val="es-ES"/>
        </w:rPr>
        <w:t xml:space="preserve">Toda la información del curso relativa al programa y al claustro de profesores puede encontrarse en la web de ThinkoHealth, la escuela de formación de Luzán 5. </w:t>
      </w:r>
    </w:p>
    <w:p w14:paraId="22C993DC" w14:textId="77777777" w:rsidR="0038343D" w:rsidRPr="00524475" w:rsidRDefault="0038343D" w:rsidP="0038343D">
      <w:pPr>
        <w:jc w:val="both"/>
        <w:rPr>
          <w:lang w:val="es-ES"/>
        </w:rPr>
      </w:pPr>
    </w:p>
    <w:p w14:paraId="0F4E716B" w14:textId="50F0E0AF" w:rsidR="00D64AA7" w:rsidRDefault="00000F1E" w:rsidP="001922A1">
      <w:pPr>
        <w:spacing w:after="360"/>
        <w:jc w:val="both"/>
        <w:rPr>
          <w:b/>
          <w:bCs/>
          <w:lang w:val="es-ES"/>
        </w:rPr>
      </w:pPr>
      <w:r w:rsidRPr="00000F1E">
        <w:rPr>
          <w:b/>
          <w:bCs/>
          <w:lang w:val="es-ES"/>
        </w:rPr>
        <w:t xml:space="preserve">GEMA, </w:t>
      </w:r>
      <w:r>
        <w:rPr>
          <w:b/>
          <w:bCs/>
          <w:lang w:val="es-ES"/>
        </w:rPr>
        <w:t>UN</w:t>
      </w:r>
      <w:r w:rsidR="00C90797">
        <w:rPr>
          <w:b/>
          <w:bCs/>
          <w:lang w:val="es-ES"/>
        </w:rPr>
        <w:t xml:space="preserve"> PROYECTO</w:t>
      </w:r>
      <w:r>
        <w:rPr>
          <w:b/>
          <w:bCs/>
          <w:lang w:val="es-ES"/>
        </w:rPr>
        <w:t xml:space="preserve"> REFERENTE A NIVEL INTERNACIONAL</w:t>
      </w:r>
    </w:p>
    <w:p w14:paraId="46860AE0" w14:textId="6F694AB5" w:rsidR="00000F1E" w:rsidRDefault="00C90797" w:rsidP="001922A1">
      <w:pPr>
        <w:spacing w:after="360"/>
        <w:jc w:val="both"/>
        <w:rPr>
          <w:lang w:val="es-ES"/>
        </w:rPr>
      </w:pPr>
      <w:r>
        <w:rPr>
          <w:lang w:val="es-ES"/>
        </w:rPr>
        <w:t xml:space="preserve">GEMA nació como una guía española de práctica clínica, aunque con los años se ha consolidado como un proyecto </w:t>
      </w:r>
      <w:r w:rsidR="00C01653">
        <w:rPr>
          <w:lang w:val="es-ES"/>
        </w:rPr>
        <w:t xml:space="preserve">de mayor envergadura </w:t>
      </w:r>
      <w:r>
        <w:rPr>
          <w:lang w:val="es-ES"/>
        </w:rPr>
        <w:t xml:space="preserve">y que se ha convertido en un referente a nivel mundial. Entorno a la guía GEMA se ha reunido una </w:t>
      </w:r>
      <w:r w:rsidR="00C01653">
        <w:rPr>
          <w:lang w:val="es-ES"/>
        </w:rPr>
        <w:t xml:space="preserve">gran </w:t>
      </w:r>
      <w:r>
        <w:rPr>
          <w:lang w:val="es-ES"/>
        </w:rPr>
        <w:t>comunidad de médicos de distintas especialidades y de distintos países</w:t>
      </w:r>
      <w:r w:rsidR="00E24F41">
        <w:rPr>
          <w:lang w:val="es-ES"/>
        </w:rPr>
        <w:t xml:space="preserve"> de habla hispana. De hecho, hoy cuenta con la implicación de </w:t>
      </w:r>
      <w:r w:rsidR="00E24F41" w:rsidRPr="00E24F41">
        <w:rPr>
          <w:b/>
          <w:bCs/>
          <w:lang w:val="es-ES"/>
        </w:rPr>
        <w:t>1</w:t>
      </w:r>
      <w:r w:rsidR="00E24F41">
        <w:rPr>
          <w:b/>
          <w:bCs/>
          <w:lang w:val="es-ES"/>
        </w:rPr>
        <w:t>7</w:t>
      </w:r>
      <w:r w:rsidR="00E24F41" w:rsidRPr="00E24F41">
        <w:rPr>
          <w:b/>
          <w:bCs/>
          <w:lang w:val="es-ES"/>
        </w:rPr>
        <w:t xml:space="preserve"> sociedades científicas</w:t>
      </w:r>
      <w:r w:rsidR="00E24F41">
        <w:rPr>
          <w:b/>
          <w:bCs/>
          <w:lang w:val="es-ES"/>
        </w:rPr>
        <w:t xml:space="preserve"> de España, Portugal y Latinoamérica</w:t>
      </w:r>
      <w:r w:rsidR="00E24F41">
        <w:rPr>
          <w:lang w:val="es-ES"/>
        </w:rPr>
        <w:t xml:space="preserve">, que trabajan </w:t>
      </w:r>
      <w:r w:rsidR="00C01653">
        <w:rPr>
          <w:lang w:val="es-ES"/>
        </w:rPr>
        <w:t xml:space="preserve">conjuntamente para </w:t>
      </w:r>
      <w:r w:rsidR="00000F1E" w:rsidRPr="008C4662">
        <w:rPr>
          <w:lang w:val="es-ES"/>
        </w:rPr>
        <w:t>mejorar el control y calidad de vida de las personas con asma mediante el incremento de la formación técnica de los profesionales sanitarios que deben atenderles, en particular en los aspectos relacionados con la prevención y valoración diagnóstica-terapéutica de la enfermedad.</w:t>
      </w:r>
    </w:p>
    <w:p w14:paraId="2B81D0FD" w14:textId="00456CD4" w:rsidR="00000F1E" w:rsidRDefault="00000F1E" w:rsidP="001922A1">
      <w:pPr>
        <w:jc w:val="both"/>
        <w:rPr>
          <w:lang w:val="es-ES"/>
        </w:rPr>
      </w:pPr>
      <w:r w:rsidRPr="00E24F41">
        <w:rPr>
          <w:lang w:val="es-ES"/>
        </w:rPr>
        <w:t xml:space="preserve">Para </w:t>
      </w:r>
      <w:r w:rsidR="00E24F41" w:rsidRPr="00E24F41">
        <w:rPr>
          <w:lang w:val="es-ES"/>
        </w:rPr>
        <w:t>el Dr. García</w:t>
      </w:r>
      <w:r w:rsidRPr="00E24F41">
        <w:rPr>
          <w:lang w:val="es-ES"/>
        </w:rPr>
        <w:t>,</w:t>
      </w:r>
      <w:r w:rsidR="00E24F41" w:rsidRPr="00E24F41">
        <w:rPr>
          <w:lang w:val="es-ES"/>
        </w:rPr>
        <w:t xml:space="preserve"> el aspecto clave de GEMA es su metodología: “el ser una </w:t>
      </w:r>
      <w:r w:rsidR="00E24F41" w:rsidRPr="0038343D">
        <w:rPr>
          <w:b/>
          <w:bCs/>
          <w:lang w:val="es-ES"/>
        </w:rPr>
        <w:t xml:space="preserve">guía multidisciplinaria, </w:t>
      </w:r>
      <w:r w:rsidR="00E24F41" w:rsidRPr="00E24F41">
        <w:rPr>
          <w:lang w:val="es-ES"/>
        </w:rPr>
        <w:t xml:space="preserve">con estricto </w:t>
      </w:r>
      <w:r w:rsidR="00E24F41" w:rsidRPr="0038343D">
        <w:rPr>
          <w:b/>
          <w:bCs/>
          <w:lang w:val="es-ES"/>
        </w:rPr>
        <w:t>rigor científico</w:t>
      </w:r>
      <w:r w:rsidR="00E24F41" w:rsidRPr="00E24F41">
        <w:rPr>
          <w:lang w:val="es-ES"/>
        </w:rPr>
        <w:t xml:space="preserve">, un proceso democrático a la hora de establecer las recomendaciones y la </w:t>
      </w:r>
      <w:r w:rsidR="00E24F41" w:rsidRPr="0038343D">
        <w:rPr>
          <w:b/>
          <w:bCs/>
          <w:lang w:val="es-ES"/>
        </w:rPr>
        <w:t>sencillez de los mensajes</w:t>
      </w:r>
      <w:r w:rsidR="00E24F41" w:rsidRPr="00E24F41">
        <w:rPr>
          <w:lang w:val="es-ES"/>
        </w:rPr>
        <w:t xml:space="preserve"> son lo que han hecho que GEMA sea el referente a nivel mundial”. En este sentido, mantiene que </w:t>
      </w:r>
      <w:r w:rsidR="00E24F41" w:rsidRPr="0038343D">
        <w:rPr>
          <w:b/>
          <w:bCs/>
          <w:lang w:val="es-ES"/>
        </w:rPr>
        <w:t>“los clínicos prefieren GEMA por entendible y facilidad de aplicación en el trabajo diario”.</w:t>
      </w:r>
      <w:r w:rsidR="00E24F41" w:rsidRPr="00E24F41">
        <w:rPr>
          <w:lang w:val="es-ES"/>
        </w:rPr>
        <w:t xml:space="preserve"> </w:t>
      </w:r>
      <w:r w:rsidRPr="00E24F41">
        <w:rPr>
          <w:lang w:val="es-ES"/>
        </w:rPr>
        <w:t xml:space="preserve"> </w:t>
      </w:r>
    </w:p>
    <w:p w14:paraId="2E3B3A0D" w14:textId="728E4444" w:rsidR="00000F1E" w:rsidRDefault="00000F1E" w:rsidP="001922A1">
      <w:pPr>
        <w:spacing w:after="360"/>
        <w:jc w:val="both"/>
        <w:rPr>
          <w:rFonts w:cs="Arial"/>
          <w:color w:val="000000"/>
          <w:shd w:val="clear" w:color="auto" w:fill="FFFFFF"/>
          <w:lang w:val="es-ES"/>
        </w:rPr>
      </w:pPr>
      <w:r>
        <w:rPr>
          <w:rFonts w:cs="Arial"/>
          <w:color w:val="000000"/>
          <w:shd w:val="clear" w:color="auto" w:fill="FFFFFF"/>
          <w:lang w:val="es-ES"/>
        </w:rPr>
        <w:t>Como en previas actualizacione</w:t>
      </w:r>
      <w:r w:rsidR="00A53F4C">
        <w:rPr>
          <w:rFonts w:cs="Arial"/>
          <w:color w:val="000000"/>
          <w:shd w:val="clear" w:color="auto" w:fill="FFFFFF"/>
          <w:lang w:val="es-ES"/>
        </w:rPr>
        <w:t>s</w:t>
      </w:r>
      <w:r>
        <w:rPr>
          <w:rFonts w:cs="Arial"/>
          <w:color w:val="000000"/>
          <w:shd w:val="clear" w:color="auto" w:fill="FFFFFF"/>
          <w:lang w:val="es-ES"/>
        </w:rPr>
        <w:t>, han participado en la</w:t>
      </w:r>
      <w:r w:rsidRPr="00AA6839">
        <w:rPr>
          <w:rFonts w:cs="Arial"/>
          <w:color w:val="000000"/>
          <w:shd w:val="clear" w:color="auto" w:fill="FFFFFF"/>
          <w:lang w:val="es-ES"/>
        </w:rPr>
        <w:t xml:space="preserve"> GEMA </w:t>
      </w:r>
      <w:r>
        <w:rPr>
          <w:rFonts w:cs="Arial"/>
          <w:color w:val="000000"/>
          <w:shd w:val="clear" w:color="auto" w:fill="FFFFFF"/>
          <w:lang w:val="es-ES"/>
        </w:rPr>
        <w:t xml:space="preserve">5.2 las siguientes organizaciones: </w:t>
      </w:r>
      <w:r w:rsidRPr="00AA6839">
        <w:rPr>
          <w:rFonts w:cs="Arial"/>
          <w:color w:val="000000"/>
          <w:shd w:val="clear" w:color="auto" w:fill="FFFFFF"/>
          <w:lang w:val="es-ES"/>
        </w:rPr>
        <w:t>la Sociedad Española de Alergología e Inmunología Clínica (SEIAC), la Sociedad Española de Otorrinolaringología y Cirugía de Cabeza y Cuello (SEORL-CCC), la Sociedad Española de Medicina Familiar y Comunitaria (</w:t>
      </w:r>
      <w:proofErr w:type="spellStart"/>
      <w:r w:rsidRPr="00AA6839">
        <w:rPr>
          <w:rFonts w:cs="Arial"/>
          <w:color w:val="000000"/>
          <w:shd w:val="clear" w:color="auto" w:fill="FFFFFF"/>
          <w:lang w:val="es-ES"/>
        </w:rPr>
        <w:t>Semfyc</w:t>
      </w:r>
      <w:proofErr w:type="spellEnd"/>
      <w:r w:rsidRPr="00AA6839">
        <w:rPr>
          <w:rFonts w:cs="Arial"/>
          <w:color w:val="000000"/>
          <w:shd w:val="clear" w:color="auto" w:fill="FFFFFF"/>
          <w:lang w:val="es-ES"/>
        </w:rPr>
        <w:t>), la Sociedad Española de Médicos de Atención Primaria (</w:t>
      </w:r>
      <w:proofErr w:type="spellStart"/>
      <w:r w:rsidRPr="00AA6839">
        <w:rPr>
          <w:rFonts w:cs="Arial"/>
          <w:color w:val="000000"/>
          <w:shd w:val="clear" w:color="auto" w:fill="FFFFFF"/>
          <w:lang w:val="es-ES"/>
        </w:rPr>
        <w:t>Semergen</w:t>
      </w:r>
      <w:proofErr w:type="spellEnd"/>
      <w:r w:rsidRPr="00AA6839">
        <w:rPr>
          <w:rFonts w:cs="Arial"/>
          <w:color w:val="000000"/>
          <w:shd w:val="clear" w:color="auto" w:fill="FFFFFF"/>
          <w:lang w:val="es-ES"/>
        </w:rPr>
        <w:t xml:space="preserve">), la Sociedad Española de Médicos Generales y de Familia (SEMG), la Sociedad de Respiratorio de Atención Primaria (GRAP), la Sociedad Española de Inmunología Clínica y Alergología y Asma Pediátrica (SEICAP), la Sociedad </w:t>
      </w:r>
      <w:r w:rsidRPr="00AA6839">
        <w:rPr>
          <w:rFonts w:cs="Arial"/>
          <w:color w:val="000000"/>
          <w:shd w:val="clear" w:color="auto" w:fill="FFFFFF"/>
          <w:lang w:val="es-ES"/>
        </w:rPr>
        <w:lastRenderedPageBreak/>
        <w:t>Española de Farmacología Clínica (SEFC), la Sociedad Española de Farmacia Familiar y Comunitaria (SEFAC), la Sociedad de Farmacia Hospitalaria (SEFH), la Sociedad Española de Neumología Pediátrica (SENP) y la Sociedad Española de Pediatría Extrahospitalaria y Atención Primaria (</w:t>
      </w:r>
      <w:proofErr w:type="spellStart"/>
      <w:r w:rsidRPr="00AA6839">
        <w:rPr>
          <w:rFonts w:cs="Arial"/>
          <w:color w:val="000000"/>
          <w:shd w:val="clear" w:color="auto" w:fill="FFFFFF"/>
          <w:lang w:val="es-ES"/>
        </w:rPr>
        <w:t>Sepeap</w:t>
      </w:r>
      <w:proofErr w:type="spellEnd"/>
      <w:r w:rsidRPr="00AA6839">
        <w:rPr>
          <w:rFonts w:cs="Arial"/>
          <w:color w:val="000000"/>
          <w:shd w:val="clear" w:color="auto" w:fill="FFFFFF"/>
          <w:lang w:val="es-ES"/>
        </w:rPr>
        <w:t>), la Asociación Española de Pediatría de Atención Primaria (</w:t>
      </w:r>
      <w:proofErr w:type="spellStart"/>
      <w:r w:rsidRPr="00AA6839">
        <w:rPr>
          <w:rFonts w:cs="Arial"/>
          <w:color w:val="000000"/>
          <w:shd w:val="clear" w:color="auto" w:fill="FFFFFF"/>
          <w:lang w:val="es-ES"/>
        </w:rPr>
        <w:t>AEPap</w:t>
      </w:r>
      <w:proofErr w:type="spellEnd"/>
      <w:r w:rsidRPr="00AA6839">
        <w:rPr>
          <w:rFonts w:cs="Arial"/>
          <w:color w:val="000000"/>
          <w:shd w:val="clear" w:color="auto" w:fill="FFFFFF"/>
          <w:lang w:val="es-ES"/>
        </w:rPr>
        <w:t>), la Sociedad Española de Medicina de Urgencias y Emergencias (SEMES) y además de latinoamericana ALAT, la portuguesa SPP y la propia SEPAR. </w:t>
      </w:r>
    </w:p>
    <w:p w14:paraId="370E47C8" w14:textId="654033BF" w:rsidR="001541EE" w:rsidRDefault="001541EE" w:rsidP="001922A1">
      <w:pPr>
        <w:jc w:val="both"/>
        <w:rPr>
          <w:rFonts w:cs="Lexend Deca"/>
          <w:b/>
          <w:bCs/>
          <w:lang w:val="es-ES"/>
        </w:rPr>
      </w:pPr>
      <w:r>
        <w:rPr>
          <w:rFonts w:cs="Lexend Deca"/>
          <w:b/>
          <w:bCs/>
          <w:lang w:val="es-ES"/>
        </w:rPr>
        <w:t xml:space="preserve">Acerca de la Sociedad Española de Neumología y Cirugía Torácica (SEPAR) </w:t>
      </w:r>
    </w:p>
    <w:p w14:paraId="3B64519F" w14:textId="5478F8D4" w:rsidR="001541EE" w:rsidRPr="00622118" w:rsidRDefault="001541EE" w:rsidP="001922A1">
      <w:pPr>
        <w:jc w:val="both"/>
        <w:rPr>
          <w:rFonts w:eastAsia="Times New Roman" w:cs="Arial"/>
          <w:color w:val="000000"/>
          <w:lang w:val="es-ES" w:eastAsia="es-ES"/>
        </w:rPr>
      </w:pPr>
      <w:r>
        <w:rPr>
          <w:rFonts w:cs="Lexend Deca"/>
          <w:lang w:val="es-ES"/>
        </w:rPr>
        <w:t xml:space="preserve">La Sociedad Española de Neumología y Cirugía Torácica </w:t>
      </w:r>
      <w:r w:rsidR="00622118">
        <w:rPr>
          <w:rFonts w:cs="Lexend Deca"/>
          <w:lang w:val="es-ES"/>
        </w:rPr>
        <w:t>(SEPAR) es la Sociedad Científica que reúne a más de 4.800 profesionales de la salud respiratoria en España, es decir</w:t>
      </w:r>
      <w:r w:rsidR="00622118" w:rsidRPr="00622118">
        <w:rPr>
          <w:rFonts w:cs="Lexend Deca"/>
          <w:lang w:val="es-ES"/>
        </w:rPr>
        <w:t xml:space="preserve">, </w:t>
      </w:r>
      <w:r w:rsidRPr="001541EE">
        <w:rPr>
          <w:rFonts w:eastAsia="Times New Roman" w:cs="Arial"/>
          <w:color w:val="000000"/>
          <w:lang w:val="es-ES" w:eastAsia="es-ES"/>
        </w:rPr>
        <w:t>la práctica totalidad de los neumólogos, cirujanos torácicos y Enfermería y Fisioterapia Respiratoria, junto a otros especialistas nacionales y extranjeros, con intereses comunes. Su objetivo es trabajar en proyectos científicos que hagan avanzar la neumología y la cirugía torácica y llevar a cabo iniciativas sobre la salud respiratoria que repercutan positivamente en la sociedad.</w:t>
      </w:r>
    </w:p>
    <w:p w14:paraId="2BDA5DC3" w14:textId="01586458" w:rsidR="000B370E" w:rsidRPr="00662D54" w:rsidRDefault="000B370E" w:rsidP="001922A1">
      <w:pPr>
        <w:jc w:val="both"/>
        <w:rPr>
          <w:rFonts w:cs="Lexend Deca"/>
          <w:b/>
          <w:bCs/>
          <w:lang w:val="es-ES"/>
        </w:rPr>
      </w:pPr>
      <w:r w:rsidRPr="00662D54">
        <w:rPr>
          <w:rFonts w:cs="Lexend Deca"/>
          <w:b/>
          <w:bCs/>
          <w:lang w:val="es-ES"/>
        </w:rPr>
        <w:t>Acerca de Luzán 5 Health Consulting</w:t>
      </w:r>
    </w:p>
    <w:p w14:paraId="1B0F40F3" w14:textId="5D88C2A0" w:rsidR="000B370E" w:rsidRPr="00F26E02" w:rsidRDefault="000B370E" w:rsidP="001922A1">
      <w:pPr>
        <w:shd w:val="clear" w:color="auto" w:fill="FFFFFF"/>
        <w:spacing w:after="0"/>
        <w:jc w:val="both"/>
        <w:rPr>
          <w:rFonts w:eastAsia="Times New Roman" w:cs="Lexend Deca"/>
          <w:lang w:val="es-ES" w:eastAsia="es-ES"/>
        </w:rPr>
      </w:pPr>
      <w:r w:rsidRPr="00662D54">
        <w:rPr>
          <w:rFonts w:eastAsia="Times New Roman" w:cs="Lexend Deca"/>
          <w:lang w:val="es-ES" w:eastAsia="es-ES"/>
        </w:rPr>
        <w:t xml:space="preserve">Luzán 5 es una consultora </w:t>
      </w:r>
      <w:r w:rsidR="00F26E02">
        <w:rPr>
          <w:rFonts w:eastAsia="Times New Roman" w:cs="Lexend Deca"/>
          <w:lang w:val="es-ES" w:eastAsia="es-ES"/>
        </w:rPr>
        <w:t>especializada en</w:t>
      </w:r>
      <w:r w:rsidRPr="00662D54">
        <w:rPr>
          <w:rFonts w:eastAsia="Times New Roman" w:cs="Lexend Deca"/>
          <w:lang w:val="es-ES" w:eastAsia="es-ES"/>
        </w:rPr>
        <w:t xml:space="preserve"> salud con 40 años de experiencia. </w:t>
      </w:r>
      <w:r w:rsidR="00F26E02">
        <w:rPr>
          <w:rFonts w:eastAsia="Times New Roman" w:cs="Lexend Deca"/>
          <w:lang w:val="es-ES" w:eastAsia="es-ES"/>
        </w:rPr>
        <w:t>Su objetivo es buscar soluciones creativas a los problemas del sector, desarrollando los proyectos de principio a fin en colaboración con todos los agentes del sistema sanitario. N</w:t>
      </w:r>
      <w:r w:rsidRPr="00662D54">
        <w:rPr>
          <w:rFonts w:eastAsia="Times New Roman" w:cs="Lexend Deca"/>
          <w:lang w:val="es-ES" w:eastAsia="es-ES"/>
        </w:rPr>
        <w:t xml:space="preserve">uestro propósito es </w:t>
      </w:r>
      <w:r w:rsidRPr="00662D54">
        <w:rPr>
          <w:rFonts w:cs="Lexend Deca"/>
          <w:lang w:val="es-ES"/>
        </w:rPr>
        <w:t xml:space="preserve">contribuir al progreso y a la mejora permanente de la asistencia sociosanitaria al paciente, favoreciendo que las personas vivan más y mejor. </w:t>
      </w:r>
    </w:p>
    <w:p w14:paraId="7216C7C7" w14:textId="77777777" w:rsidR="005F50B7" w:rsidRDefault="005F50B7" w:rsidP="001922A1">
      <w:pPr>
        <w:pStyle w:val="EstiloLuzn5"/>
        <w:jc w:val="both"/>
        <w:rPr>
          <w:lang w:val="es-ES"/>
        </w:rPr>
      </w:pPr>
    </w:p>
    <w:p w14:paraId="52B285BC" w14:textId="4D2D5B16" w:rsidR="000B370E" w:rsidRPr="00662D54" w:rsidRDefault="000B370E" w:rsidP="001922A1">
      <w:pPr>
        <w:pStyle w:val="EstiloLuzn5"/>
        <w:jc w:val="both"/>
        <w:rPr>
          <w:lang w:val="es-ES"/>
        </w:rPr>
      </w:pPr>
      <w:r w:rsidRPr="00662D54">
        <w:rPr>
          <w:noProof/>
          <w:lang w:val="ca-ES" w:eastAsia="ca-ES"/>
        </w:rPr>
        <mc:AlternateContent>
          <mc:Choice Requires="wps">
            <w:drawing>
              <wp:anchor distT="0" distB="0" distL="114300" distR="114300" simplePos="0" relativeHeight="251659264" behindDoc="0" locked="0" layoutInCell="1" allowOverlap="1" wp14:anchorId="549A82F1" wp14:editId="2CCF4904">
                <wp:simplePos x="0" y="0"/>
                <wp:positionH relativeFrom="column">
                  <wp:posOffset>-99695</wp:posOffset>
                </wp:positionH>
                <wp:positionV relativeFrom="paragraph">
                  <wp:posOffset>368935</wp:posOffset>
                </wp:positionV>
                <wp:extent cx="2330450" cy="1158240"/>
                <wp:effectExtent l="0" t="0" r="0" b="381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158240"/>
                        </a:xfrm>
                        <a:prstGeom prst="rect">
                          <a:avLst/>
                        </a:prstGeom>
                        <a:noFill/>
                        <a:ln w="9525">
                          <a:noFill/>
                          <a:miter lim="800000"/>
                          <a:headEnd/>
                          <a:tailEnd/>
                        </a:ln>
                      </wps:spPr>
                      <wps:txbx>
                        <w:txbxContent>
                          <w:p w14:paraId="18EC678D"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b/>
                                <w:bCs/>
                                <w:sz w:val="20"/>
                                <w:szCs w:val="20"/>
                                <w:lang w:val="en-US"/>
                              </w:rPr>
                            </w:pPr>
                            <w:r w:rsidRPr="00662D54">
                              <w:rPr>
                                <w:rFonts w:ascii="Raleway" w:hAnsi="Raleway" w:cs="Lexend Deca"/>
                                <w:b/>
                                <w:bCs/>
                                <w:sz w:val="20"/>
                                <w:szCs w:val="20"/>
                                <w:lang w:val="en-US"/>
                              </w:rPr>
                              <w:t>Carmen Ansótegui Horcajo</w:t>
                            </w:r>
                          </w:p>
                          <w:p w14:paraId="404D40D3"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sz w:val="20"/>
                                <w:szCs w:val="20"/>
                                <w:lang w:val="en-US"/>
                              </w:rPr>
                            </w:pPr>
                            <w:r w:rsidRPr="00662D54">
                              <w:rPr>
                                <w:rFonts w:ascii="Raleway" w:hAnsi="Raleway" w:cs="Lexend Deca"/>
                                <w:sz w:val="20"/>
                                <w:szCs w:val="20"/>
                                <w:lang w:val="en-US"/>
                              </w:rPr>
                              <w:t xml:space="preserve">Communication Manager </w:t>
                            </w:r>
                          </w:p>
                          <w:p w14:paraId="6EBCA5C2"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sz w:val="20"/>
                                <w:szCs w:val="20"/>
                                <w:lang w:val="en-US"/>
                              </w:rPr>
                            </w:pPr>
                            <w:r w:rsidRPr="00662D54">
                              <w:rPr>
                                <w:rFonts w:ascii="Raleway" w:hAnsi="Raleway" w:cs="Lexend Deca"/>
                                <w:sz w:val="20"/>
                                <w:szCs w:val="20"/>
                                <w:lang w:val="en-US"/>
                              </w:rPr>
                              <w:t>Luzán 5 Health Consulting</w:t>
                            </w:r>
                          </w:p>
                          <w:p w14:paraId="562FEBC7"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sz w:val="20"/>
                                <w:szCs w:val="20"/>
                                <w:lang w:val="en-US"/>
                              </w:rPr>
                            </w:pPr>
                            <w:r w:rsidRPr="00662D54">
                              <w:rPr>
                                <w:rFonts w:ascii="Raleway" w:hAnsi="Raleway" w:cs="Lexend Deca"/>
                                <w:sz w:val="20"/>
                                <w:szCs w:val="20"/>
                                <w:lang w:val="en-US"/>
                              </w:rPr>
                              <w:t>Tlf.: 627.239.665</w:t>
                            </w:r>
                          </w:p>
                          <w:p w14:paraId="07750524" w14:textId="77777777" w:rsidR="000B370E" w:rsidRPr="004F2D0D" w:rsidRDefault="002B1CF2" w:rsidP="000B370E">
                            <w:pPr>
                              <w:pStyle w:val="o-text--med"/>
                              <w:shd w:val="clear" w:color="auto" w:fill="FFFFFF"/>
                              <w:spacing w:before="0" w:beforeAutospacing="0" w:after="0" w:afterAutospacing="0" w:line="312" w:lineRule="auto"/>
                              <w:textAlignment w:val="baseline"/>
                              <w:rPr>
                                <w:rStyle w:val="Hipervnculo"/>
                                <w:rFonts w:ascii="Raleway" w:hAnsi="Raleway" w:cs="Lexend Deca"/>
                                <w:sz w:val="20"/>
                                <w:szCs w:val="20"/>
                              </w:rPr>
                            </w:pPr>
                            <w:hyperlink r:id="rId10" w:history="1">
                              <w:r w:rsidR="000B370E" w:rsidRPr="004F2D0D">
                                <w:rPr>
                                  <w:rStyle w:val="Hipervnculo"/>
                                  <w:rFonts w:ascii="Raleway" w:hAnsi="Raleway" w:cs="Lexend Deca"/>
                                  <w:sz w:val="20"/>
                                  <w:szCs w:val="20"/>
                                  <w:lang w:val="en-US"/>
                                </w:rPr>
                                <w:t>cansotegui@luzan5.es</w:t>
                              </w:r>
                            </w:hyperlink>
                          </w:p>
                          <w:p w14:paraId="2F52F35F" w14:textId="77777777" w:rsidR="000B370E" w:rsidRPr="00C80F92" w:rsidRDefault="000B370E" w:rsidP="000B370E">
                            <w:pPr>
                              <w:spacing w:line="240" w:lineRule="auto"/>
                              <w:rPr>
                                <w:lang w:val="es-ES"/>
                              </w:rPr>
                            </w:pPr>
                          </w:p>
                        </w:txbxContent>
                      </wps:txbx>
                      <wps:bodyPr rot="0" vert="horz" wrap="square" lIns="91440" tIns="45720" rIns="91440" bIns="45720" anchor="t" anchorCtr="0">
                        <a:noAutofit/>
                      </wps:bodyPr>
                    </wps:wsp>
                  </a:graphicData>
                </a:graphic>
              </wp:anchor>
            </w:drawing>
          </mc:Choice>
          <mc:Fallback>
            <w:pict>
              <v:shapetype w14:anchorId="549A82F1" id="_x0000_t202" coordsize="21600,21600" o:spt="202" path="m,l,21600r21600,l21600,xe">
                <v:stroke joinstyle="miter"/>
                <v:path gradientshapeok="t" o:connecttype="rect"/>
              </v:shapetype>
              <v:shape id="Cuadro de texto 2" o:spid="_x0000_s1026" type="#_x0000_t202" style="position:absolute;left:0;text-align:left;margin-left:-7.85pt;margin-top:29.05pt;width:183.5pt;height:9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" filled="f" stroked="f">
                <v:textbox>
                  <w:txbxContent>
                    <w:p w14:paraId="18EC678D"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b/>
                          <w:bCs/>
                          <w:sz w:val="20"/>
                          <w:szCs w:val="20"/>
                          <w:lang w:val="en-US"/>
                        </w:rPr>
                      </w:pPr>
                      <w:r w:rsidRPr="00662D54">
                        <w:rPr>
                          <w:rFonts w:ascii="Raleway" w:hAnsi="Raleway" w:cs="Lexend Deca"/>
                          <w:b/>
                          <w:bCs/>
                          <w:sz w:val="20"/>
                          <w:szCs w:val="20"/>
                          <w:lang w:val="en-US"/>
                        </w:rPr>
                        <w:t xml:space="preserve">Carmen </w:t>
                      </w:r>
                      <w:proofErr w:type="spellStart"/>
                      <w:r w:rsidRPr="00662D54">
                        <w:rPr>
                          <w:rFonts w:ascii="Raleway" w:hAnsi="Raleway" w:cs="Lexend Deca"/>
                          <w:b/>
                          <w:bCs/>
                          <w:sz w:val="20"/>
                          <w:szCs w:val="20"/>
                          <w:lang w:val="en-US"/>
                        </w:rPr>
                        <w:t>Ansótegui</w:t>
                      </w:r>
                      <w:proofErr w:type="spellEnd"/>
                      <w:r w:rsidRPr="00662D54">
                        <w:rPr>
                          <w:rFonts w:ascii="Raleway" w:hAnsi="Raleway" w:cs="Lexend Deca"/>
                          <w:b/>
                          <w:bCs/>
                          <w:sz w:val="20"/>
                          <w:szCs w:val="20"/>
                          <w:lang w:val="en-US"/>
                        </w:rPr>
                        <w:t xml:space="preserve"> </w:t>
                      </w:r>
                      <w:proofErr w:type="spellStart"/>
                      <w:r w:rsidRPr="00662D54">
                        <w:rPr>
                          <w:rFonts w:ascii="Raleway" w:hAnsi="Raleway" w:cs="Lexend Deca"/>
                          <w:b/>
                          <w:bCs/>
                          <w:sz w:val="20"/>
                          <w:szCs w:val="20"/>
                          <w:lang w:val="en-US"/>
                        </w:rPr>
                        <w:t>Horcajo</w:t>
                      </w:r>
                      <w:proofErr w:type="spellEnd"/>
                    </w:p>
                    <w:p w14:paraId="404D40D3"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sz w:val="20"/>
                          <w:szCs w:val="20"/>
                          <w:lang w:val="en-US"/>
                        </w:rPr>
                      </w:pPr>
                      <w:r w:rsidRPr="00662D54">
                        <w:rPr>
                          <w:rFonts w:ascii="Raleway" w:hAnsi="Raleway" w:cs="Lexend Deca"/>
                          <w:sz w:val="20"/>
                          <w:szCs w:val="20"/>
                          <w:lang w:val="en-US"/>
                        </w:rPr>
                        <w:t xml:space="preserve">Communication Manager </w:t>
                      </w:r>
                    </w:p>
                    <w:p w14:paraId="6EBCA5C2"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sz w:val="20"/>
                          <w:szCs w:val="20"/>
                          <w:lang w:val="en-US"/>
                        </w:rPr>
                      </w:pPr>
                      <w:r w:rsidRPr="00662D54">
                        <w:rPr>
                          <w:rFonts w:ascii="Raleway" w:hAnsi="Raleway" w:cs="Lexend Deca"/>
                          <w:sz w:val="20"/>
                          <w:szCs w:val="20"/>
                          <w:lang w:val="en-US"/>
                        </w:rPr>
                        <w:t>Luzán 5 Health Consulting</w:t>
                      </w:r>
                    </w:p>
                    <w:p w14:paraId="562FEBC7" w14:textId="77777777" w:rsidR="000B370E" w:rsidRPr="00662D54" w:rsidRDefault="000B370E" w:rsidP="000B370E">
                      <w:pPr>
                        <w:pStyle w:val="o-text--med"/>
                        <w:shd w:val="clear" w:color="auto" w:fill="FFFFFF"/>
                        <w:spacing w:before="0" w:beforeAutospacing="0" w:after="0" w:afterAutospacing="0" w:line="312" w:lineRule="auto"/>
                        <w:textAlignment w:val="baseline"/>
                        <w:rPr>
                          <w:rFonts w:ascii="Raleway" w:hAnsi="Raleway" w:cs="Lexend Deca"/>
                          <w:sz w:val="20"/>
                          <w:szCs w:val="20"/>
                          <w:lang w:val="en-US"/>
                        </w:rPr>
                      </w:pPr>
                      <w:proofErr w:type="spellStart"/>
                      <w:r w:rsidRPr="00662D54">
                        <w:rPr>
                          <w:rFonts w:ascii="Raleway" w:hAnsi="Raleway" w:cs="Lexend Deca"/>
                          <w:sz w:val="20"/>
                          <w:szCs w:val="20"/>
                          <w:lang w:val="en-US"/>
                        </w:rPr>
                        <w:t>Tlf</w:t>
                      </w:r>
                      <w:proofErr w:type="spellEnd"/>
                      <w:r w:rsidRPr="00662D54">
                        <w:rPr>
                          <w:rFonts w:ascii="Raleway" w:hAnsi="Raleway" w:cs="Lexend Deca"/>
                          <w:sz w:val="20"/>
                          <w:szCs w:val="20"/>
                          <w:lang w:val="en-US"/>
                        </w:rPr>
                        <w:t>.: 627.239.665</w:t>
                      </w:r>
                    </w:p>
                    <w:p w14:paraId="07750524" w14:textId="77777777" w:rsidR="000B370E" w:rsidRPr="004F2D0D" w:rsidRDefault="0058539B" w:rsidP="000B370E">
                      <w:pPr>
                        <w:pStyle w:val="o-text--med"/>
                        <w:shd w:val="clear" w:color="auto" w:fill="FFFFFF"/>
                        <w:spacing w:before="0" w:beforeAutospacing="0" w:after="0" w:afterAutospacing="0" w:line="312" w:lineRule="auto"/>
                        <w:textAlignment w:val="baseline"/>
                        <w:rPr>
                          <w:rStyle w:val="Hipervnculo"/>
                          <w:rFonts w:ascii="Raleway" w:hAnsi="Raleway" w:cs="Lexend Deca"/>
                          <w:sz w:val="20"/>
                          <w:szCs w:val="20"/>
                        </w:rPr>
                      </w:pPr>
                      <w:hyperlink r:id="rId11" w:history="1">
                        <w:r w:rsidR="000B370E" w:rsidRPr="004F2D0D">
                          <w:rPr>
                            <w:rStyle w:val="Hipervnculo"/>
                            <w:rFonts w:ascii="Raleway" w:hAnsi="Raleway" w:cs="Lexend Deca"/>
                            <w:sz w:val="20"/>
                            <w:szCs w:val="20"/>
                            <w:lang w:val="en-US"/>
                          </w:rPr>
                          <w:t>cansotegui@luzan5.es</w:t>
                        </w:r>
                      </w:hyperlink>
                    </w:p>
                    <w:p w14:paraId="2F52F35F" w14:textId="77777777" w:rsidR="000B370E" w:rsidRPr="00C80F92" w:rsidRDefault="000B370E" w:rsidP="000B370E">
                      <w:pPr>
                        <w:spacing w:line="240" w:lineRule="auto"/>
                        <w:rPr>
                          <w:lang w:val="es-ES"/>
                        </w:rPr>
                      </w:pPr>
                    </w:p>
                  </w:txbxContent>
                </v:textbox>
                <w10:wrap type="square"/>
              </v:shape>
            </w:pict>
          </mc:Fallback>
        </mc:AlternateContent>
      </w:r>
      <w:r w:rsidRPr="00662D54">
        <w:rPr>
          <w:lang w:val="es-ES"/>
        </w:rPr>
        <w:t xml:space="preserve">Para más información: </w:t>
      </w:r>
    </w:p>
    <w:p w14:paraId="25C15018" w14:textId="4116360B" w:rsidR="000B370E" w:rsidRPr="004F2D0D" w:rsidRDefault="000B370E" w:rsidP="001922A1">
      <w:pPr>
        <w:jc w:val="both"/>
        <w:rPr>
          <w:lang w:val="es-ES"/>
        </w:rPr>
      </w:pPr>
    </w:p>
    <w:p w14:paraId="042A778C" w14:textId="761BFEBF" w:rsidR="000B370E" w:rsidRPr="004F2D0D" w:rsidRDefault="000B370E" w:rsidP="001922A1">
      <w:pPr>
        <w:jc w:val="both"/>
        <w:rPr>
          <w:lang w:val="es-ES"/>
        </w:rPr>
      </w:pPr>
    </w:p>
    <w:p w14:paraId="16EA8196" w14:textId="77777777" w:rsidR="00801EC2" w:rsidRDefault="00801EC2" w:rsidP="001922A1">
      <w:pPr>
        <w:pStyle w:val="EstiloLuzn5"/>
        <w:jc w:val="both"/>
        <w:rPr>
          <w:lang w:val="es-ES"/>
        </w:rPr>
      </w:pPr>
    </w:p>
    <w:p w14:paraId="0DD59FD7" w14:textId="77777777" w:rsidR="00801EC2" w:rsidRDefault="00801EC2" w:rsidP="001922A1">
      <w:pPr>
        <w:pStyle w:val="EstiloLuzn5"/>
        <w:jc w:val="both"/>
        <w:rPr>
          <w:lang w:val="es-ES"/>
        </w:rPr>
      </w:pPr>
    </w:p>
    <w:p w14:paraId="57C42F33" w14:textId="77777777" w:rsidR="00801EC2" w:rsidRDefault="00801EC2" w:rsidP="001922A1">
      <w:pPr>
        <w:pStyle w:val="EstiloLuzn5"/>
        <w:jc w:val="both"/>
        <w:rPr>
          <w:lang w:val="es-ES"/>
        </w:rPr>
      </w:pPr>
    </w:p>
    <w:p w14:paraId="10FD9531" w14:textId="1C539544" w:rsidR="001554BD" w:rsidRPr="001D59B7" w:rsidRDefault="007418EA" w:rsidP="001922A1">
      <w:pPr>
        <w:pStyle w:val="EstiloLuzn5"/>
        <w:jc w:val="both"/>
        <w:rPr>
          <w:lang w:val="es-ES"/>
        </w:rPr>
      </w:pPr>
      <w:r>
        <w:rPr>
          <w:noProof/>
          <w:lang w:val="ca-ES" w:eastAsia="ca-ES"/>
        </w:rPr>
        <mc:AlternateContent>
          <mc:Choice Requires="wps">
            <w:drawing>
              <wp:anchor distT="0" distB="0" distL="114300" distR="114300" simplePos="0" relativeHeight="251660288" behindDoc="0" locked="0" layoutInCell="1" allowOverlap="1" wp14:anchorId="400741E9" wp14:editId="3C7FEEF9">
                <wp:simplePos x="0" y="0"/>
                <wp:positionH relativeFrom="column">
                  <wp:posOffset>-2400935</wp:posOffset>
                </wp:positionH>
                <wp:positionV relativeFrom="paragraph">
                  <wp:posOffset>339090</wp:posOffset>
                </wp:positionV>
                <wp:extent cx="2522220" cy="124968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249680"/>
                        </a:xfrm>
                        <a:prstGeom prst="rect">
                          <a:avLst/>
                        </a:prstGeom>
                        <a:noFill/>
                        <a:ln w="9525">
                          <a:noFill/>
                          <a:miter lim="800000"/>
                          <a:headEnd/>
                          <a:tailEnd/>
                        </a:ln>
                      </wps:spPr>
                      <wps:txbx>
                        <w:txbxContent>
                          <w:p w14:paraId="1CA007D6" w14:textId="1DD3CFDF" w:rsidR="000B370E" w:rsidRPr="007522D3" w:rsidRDefault="002B1CF2" w:rsidP="000B370E">
                            <w:pPr>
                              <w:spacing w:line="240" w:lineRule="auto"/>
                              <w:rPr>
                                <w:sz w:val="20"/>
                                <w:szCs w:val="20"/>
                              </w:rPr>
                            </w:pPr>
                            <w:hyperlink r:id="rId12" w:history="1">
                              <w:r w:rsidR="007418EA" w:rsidRPr="007522D3">
                                <w:rPr>
                                  <w:rStyle w:val="Hipervnculo"/>
                                  <w:sz w:val="20"/>
                                  <w:szCs w:val="20"/>
                                </w:rPr>
                                <w:t>www.gemasma.com</w:t>
                              </w:r>
                            </w:hyperlink>
                          </w:p>
                          <w:p w14:paraId="6159C5EF" w14:textId="461829AB" w:rsidR="000B370E" w:rsidRDefault="000B370E" w:rsidP="000B370E">
                            <w:pPr>
                              <w:spacing w:line="240" w:lineRule="auto"/>
                            </w:pPr>
                            <w:r>
                              <w:rPr>
                                <w:noProof/>
                                <w:lang w:val="ca-ES" w:eastAsia="ca-ES"/>
                              </w:rPr>
                              <w:drawing>
                                <wp:inline distT="0" distB="0" distL="0" distR="0" wp14:anchorId="02270E40" wp14:editId="0C535D3F">
                                  <wp:extent cx="243090" cy="243840"/>
                                  <wp:effectExtent l="0" t="0" r="5080" b="3810"/>
                                  <wp:docPr id="13" name="Imagen 13" descr="Círculo&#10;&#10;Descripción generada automáticament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írculo&#10;&#10;Descripción generada automáticamente">
                                            <a:hlinkClick r:id="rId13"/>
                                          </pic:cNvPr>
                                          <pic:cNvPicPr/>
                                        </pic:nvPicPr>
                                        <pic:blipFill rotWithShape="1">
                                          <a:blip r:embed="rId14"/>
                                          <a:srcRect l="25727" r="49449" b="74757"/>
                                          <a:stretch/>
                                        </pic:blipFill>
                                        <pic:spPr bwMode="auto">
                                          <a:xfrm>
                                            <a:off x="0" y="0"/>
                                            <a:ext cx="243218" cy="243968"/>
                                          </a:xfrm>
                                          <a:prstGeom prst="rect">
                                            <a:avLst/>
                                          </a:prstGeom>
                                          <a:ln>
                                            <a:noFill/>
                                          </a:ln>
                                          <a:extLst>
                                            <a:ext uri="{53640926-AAD7-44D8-BBD7-CCE9431645EC}">
                                              <a14:shadowObscured xmlns:a14="http://schemas.microsoft.com/office/drawing/2010/main"/>
                                            </a:ext>
                                          </a:extLst>
                                        </pic:spPr>
                                      </pic:pic>
                                    </a:graphicData>
                                  </a:graphic>
                                </wp:inline>
                              </w:drawing>
                            </w:r>
                          </w:p>
                          <w:p w14:paraId="4C0B52F7" w14:textId="77777777" w:rsidR="000B370E" w:rsidRPr="00C80F92" w:rsidRDefault="000B370E" w:rsidP="000B370E">
                            <w:pPr>
                              <w:spacing w:line="240" w:lineRule="auto"/>
                              <w:rPr>
                                <w:lang w:val="es-ES"/>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00741E9" id="_x0000_s1027" type="#_x0000_t202" style="position:absolute;left:0;text-align:left;margin-left:-189.05pt;margin-top:26.7pt;width:198.6pt;height:98.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" filled="f" stroked="f">
                <v:textbox>
                  <w:txbxContent>
                    <w:p w14:paraId="1CA007D6" w14:textId="1DD3CFDF" w:rsidR="000B370E" w:rsidRPr="007522D3" w:rsidRDefault="0058539B" w:rsidP="000B370E">
                      <w:pPr>
                        <w:spacing w:line="240" w:lineRule="auto"/>
                        <w:rPr>
                          <w:sz w:val="20"/>
                          <w:szCs w:val="20"/>
                        </w:rPr>
                      </w:pPr>
                      <w:hyperlink r:id="rId15" w:history="1">
                        <w:r w:rsidR="007418EA" w:rsidRPr="007522D3">
                          <w:rPr>
                            <w:rStyle w:val="Hipervnculo"/>
                            <w:sz w:val="20"/>
                            <w:szCs w:val="20"/>
                          </w:rPr>
                          <w:t>www.gemasma.com</w:t>
                        </w:r>
                      </w:hyperlink>
                    </w:p>
                    <w:p w14:paraId="6159C5EF" w14:textId="461829AB" w:rsidR="000B370E" w:rsidRDefault="000B370E" w:rsidP="000B370E">
                      <w:pPr>
                        <w:spacing w:line="240" w:lineRule="auto"/>
                      </w:pPr>
                      <w:r>
                        <w:rPr>
                          <w:noProof/>
                          <w:lang w:val="ca-ES" w:eastAsia="ca-ES"/>
                        </w:rPr>
                        <w:drawing>
                          <wp:inline distT="0" distB="0" distL="0" distR="0" wp14:anchorId="02270E40" wp14:editId="0C535D3F">
                            <wp:extent cx="243090" cy="243840"/>
                            <wp:effectExtent l="0" t="0" r="5080" b="3810"/>
                            <wp:docPr id="13" name="Imagen 13" descr="Círculo&#10;&#10;Descripción generada automáticament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írculo&#10;&#10;Descripción generada automáticamente">
                                      <a:hlinkClick r:id="rId16"/>
                                    </pic:cNvPr>
                                    <pic:cNvPicPr/>
                                  </pic:nvPicPr>
                                  <pic:blipFill rotWithShape="1">
                                    <a:blip r:embed="rId17"/>
                                    <a:srcRect l="25727" r="49449" b="74757"/>
                                    <a:stretch/>
                                  </pic:blipFill>
                                  <pic:spPr bwMode="auto">
                                    <a:xfrm>
                                      <a:off x="0" y="0"/>
                                      <a:ext cx="243218" cy="243968"/>
                                    </a:xfrm>
                                    <a:prstGeom prst="rect">
                                      <a:avLst/>
                                    </a:prstGeom>
                                    <a:ln>
                                      <a:noFill/>
                                    </a:ln>
                                    <a:extLst>
                                      <a:ext uri="{53640926-AAD7-44D8-BBD7-CCE9431645EC}">
                                        <a14:shadowObscured xmlns:a14="http://schemas.microsoft.com/office/drawing/2010/main"/>
                                      </a:ext>
                                    </a:extLst>
                                  </pic:spPr>
                                </pic:pic>
                              </a:graphicData>
                            </a:graphic>
                          </wp:inline>
                        </w:drawing>
                      </w:r>
                    </w:p>
                    <w:p w14:paraId="4C0B52F7" w14:textId="77777777" w:rsidR="000B370E" w:rsidRPr="00C80F92" w:rsidRDefault="000B370E" w:rsidP="000B370E">
                      <w:pPr>
                        <w:spacing w:line="240" w:lineRule="auto"/>
                        <w:rPr>
                          <w:lang w:val="es-ES"/>
                        </w:rPr>
                      </w:pPr>
                    </w:p>
                  </w:txbxContent>
                </v:textbox>
              </v:shape>
            </w:pict>
          </mc:Fallback>
        </mc:AlternateContent>
      </w:r>
    </w:p>
    <w:sectPr w:rsidR="001554BD" w:rsidRPr="001D59B7" w:rsidSect="0064648E">
      <w:headerReference w:type="default" r:id="rId18"/>
      <w:footerReference w:type="default" r:id="rId19"/>
      <w:pgSz w:w="11906" w:h="16838" w:code="9"/>
      <w:pgMar w:top="1418" w:right="1417" w:bottom="1417" w:left="1417"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6048" w14:textId="77777777" w:rsidR="0058539B" w:rsidRDefault="0058539B" w:rsidP="00E96FBA">
      <w:pPr>
        <w:spacing w:after="0" w:line="240" w:lineRule="auto"/>
      </w:pPr>
      <w:r>
        <w:separator/>
      </w:r>
    </w:p>
  </w:endnote>
  <w:endnote w:type="continuationSeparator" w:id="0">
    <w:p w14:paraId="6F5E105C" w14:textId="77777777" w:rsidR="0058539B" w:rsidRDefault="0058539B" w:rsidP="00E96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aleway">
    <w:panose1 w:val="00000000000000000000"/>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SemiBold">
    <w:panose1 w:val="00000000000000000000"/>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exend Deca">
    <w:panose1 w:val="00000000000000000000"/>
    <w:charset w:val="00"/>
    <w:family w:val="auto"/>
    <w:pitch w:val="variable"/>
    <w:sig w:usb0="A00000FF" w:usb1="C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6B5" w14:textId="470B0FB5" w:rsidR="00AA66FF" w:rsidRDefault="00AA66FF">
    <w:pPr>
      <w:pStyle w:val="Piedepgina"/>
    </w:pPr>
    <w:r>
      <w:rPr>
        <w:noProof/>
        <w:lang w:val="ca-ES" w:eastAsia="ca-ES"/>
      </w:rPr>
      <mc:AlternateContent>
        <mc:Choice Requires="wps">
          <w:drawing>
            <wp:anchor distT="0" distB="0" distL="114300" distR="114300" simplePos="0" relativeHeight="251665408" behindDoc="1" locked="0" layoutInCell="1" allowOverlap="1" wp14:anchorId="784D758B" wp14:editId="75D8A137">
              <wp:simplePos x="0" y="0"/>
              <wp:positionH relativeFrom="page">
                <wp:posOffset>3669030</wp:posOffset>
              </wp:positionH>
              <wp:positionV relativeFrom="page">
                <wp:posOffset>10247142</wp:posOffset>
              </wp:positionV>
              <wp:extent cx="206375" cy="17780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0B0BC" w14:textId="77777777" w:rsidR="00AA66FF" w:rsidRPr="00AA66FF" w:rsidRDefault="00AA66FF" w:rsidP="00AA66FF">
                          <w:pPr>
                            <w:pStyle w:val="Textoindependiente"/>
                            <w:spacing w:line="264" w:lineRule="exact"/>
                            <w:ind w:left="40"/>
                            <w:jc w:val="center"/>
                            <w:rPr>
                              <w:color w:val="B5B4B3"/>
                            </w:rPr>
                          </w:pPr>
                          <w:r w:rsidRPr="00AA66FF">
                            <w:rPr>
                              <w:color w:val="B5B4B3"/>
                            </w:rPr>
                            <w:fldChar w:fldCharType="begin"/>
                          </w:r>
                          <w:r w:rsidRPr="00AA66FF">
                            <w:rPr>
                              <w:color w:val="B5B4B3"/>
                            </w:rPr>
                            <w:instrText xml:space="preserve"> PAGE </w:instrText>
                          </w:r>
                          <w:r w:rsidRPr="00AA66FF">
                            <w:rPr>
                              <w:color w:val="B5B4B3"/>
                            </w:rPr>
                            <w:fldChar w:fldCharType="separate"/>
                          </w:r>
                          <w:r w:rsidR="00D07815">
                            <w:rPr>
                              <w:noProof/>
                              <w:color w:val="B5B4B3"/>
                            </w:rPr>
                            <w:t>3</w:t>
                          </w:r>
                          <w:r w:rsidRPr="00AA66FF">
                            <w:rPr>
                              <w:color w:val="B5B4B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D758B" id="_x0000_t202" coordsize="21600,21600" o:spt="202" path="m,l,21600r21600,l21600,xe">
              <v:stroke joinstyle="miter"/>
              <v:path gradientshapeok="t" o:connecttype="rect"/>
            </v:shapetype>
            <v:shape id="Cuadro de texto 10" o:spid="_x0000_s1028" type="#_x0000_t202" style="position:absolute;margin-left:288.9pt;margin-top:806.85pt;width:16.2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" filled="f" stroked="f">
              <v:textbox inset="0,0,0,0">
                <w:txbxContent>
                  <w:p w14:paraId="24C0B0BC" w14:textId="77777777" w:rsidR="00AA66FF" w:rsidRPr="00AA66FF" w:rsidRDefault="00AA66FF" w:rsidP="00AA66FF">
                    <w:pPr>
                      <w:pStyle w:val="Textoindependiente"/>
                      <w:spacing w:line="264" w:lineRule="exact"/>
                      <w:ind w:left="40"/>
                      <w:jc w:val="center"/>
                      <w:rPr>
                        <w:color w:val="B5B4B3"/>
                      </w:rPr>
                    </w:pPr>
                    <w:r w:rsidRPr="00AA66FF">
                      <w:rPr>
                        <w:color w:val="B5B4B3"/>
                      </w:rPr>
                      <w:fldChar w:fldCharType="begin"/>
                    </w:r>
                    <w:r w:rsidRPr="00AA66FF">
                      <w:rPr>
                        <w:color w:val="B5B4B3"/>
                      </w:rPr>
                      <w:instrText xml:space="preserve"> PAGE </w:instrText>
                    </w:r>
                    <w:r w:rsidRPr="00AA66FF">
                      <w:rPr>
                        <w:color w:val="B5B4B3"/>
                      </w:rPr>
                      <w:fldChar w:fldCharType="separate"/>
                    </w:r>
                    <w:r w:rsidR="00D07815">
                      <w:rPr>
                        <w:noProof/>
                        <w:color w:val="B5B4B3"/>
                      </w:rPr>
                      <w:t>3</w:t>
                    </w:r>
                    <w:r w:rsidRPr="00AA66FF">
                      <w:rPr>
                        <w:color w:val="B5B4B3"/>
                      </w:rPr>
                      <w:fldChar w:fldCharType="end"/>
                    </w:r>
                  </w:p>
                </w:txbxContent>
              </v:textbox>
              <w10:wrap anchorx="page" anchory="page"/>
            </v:shape>
          </w:pict>
        </mc:Fallback>
      </mc:AlternateContent>
    </w:r>
    <w:r>
      <w:rPr>
        <w:noProof/>
        <w:lang w:val="ca-ES" w:eastAsia="ca-ES"/>
      </w:rPr>
      <mc:AlternateContent>
        <mc:Choice Requires="wps">
          <w:drawing>
            <wp:anchor distT="0" distB="0" distL="114300" distR="114300" simplePos="0" relativeHeight="251661312" behindDoc="1" locked="0" layoutInCell="1" allowOverlap="1" wp14:anchorId="27F726BB" wp14:editId="4B6002BD">
              <wp:simplePos x="0" y="0"/>
              <wp:positionH relativeFrom="margin">
                <wp:posOffset>535989</wp:posOffset>
              </wp:positionH>
              <wp:positionV relativeFrom="margin">
                <wp:posOffset>9060864</wp:posOffset>
              </wp:positionV>
              <wp:extent cx="4686300" cy="158750"/>
              <wp:effectExtent l="0" t="0" r="0" b="12700"/>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68B94" w14:textId="77777777" w:rsidR="00AA66FF" w:rsidRPr="00F64F1A" w:rsidRDefault="00AA66FF" w:rsidP="00F64F1A">
                          <w:pPr>
                            <w:spacing w:line="245" w:lineRule="exact"/>
                            <w:ind w:left="20"/>
                            <w:jc w:val="center"/>
                            <w:rPr>
                              <w:color w:val="B5B4B3"/>
                              <w:sz w:val="18"/>
                              <w:szCs w:val="18"/>
                              <w:lang w:val="es-ES"/>
                            </w:rPr>
                          </w:pPr>
                          <w:r w:rsidRPr="00F64F1A">
                            <w:rPr>
                              <w:color w:val="B5B4B3"/>
                              <w:sz w:val="18"/>
                              <w:szCs w:val="18"/>
                              <w:lang w:val="es-ES"/>
                            </w:rPr>
                            <w:t>Pje. Virgen de la Alegría, 14, 28027, Madrid (España) | Tel: (+34) 914 05 72 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726BB" id="Cuadro de texto 9" o:spid="_x0000_s1029" type="#_x0000_t202" style="position:absolute;margin-left:42.2pt;margin-top:713.45pt;width:369pt;height:1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" filled="f" stroked="f">
              <v:textbox inset="0,0,0,0">
                <w:txbxContent>
                  <w:p w14:paraId="31B68B94" w14:textId="77777777" w:rsidR="00AA66FF" w:rsidRPr="00F64F1A" w:rsidRDefault="00AA66FF" w:rsidP="00F64F1A">
                    <w:pPr>
                      <w:spacing w:line="245" w:lineRule="exact"/>
                      <w:ind w:left="20"/>
                      <w:jc w:val="center"/>
                      <w:rPr>
                        <w:color w:val="B5B4B3"/>
                        <w:sz w:val="18"/>
                        <w:szCs w:val="18"/>
                        <w:lang w:val="es-ES"/>
                      </w:rPr>
                    </w:pPr>
                    <w:r w:rsidRPr="00F64F1A">
                      <w:rPr>
                        <w:color w:val="B5B4B3"/>
                        <w:sz w:val="18"/>
                        <w:szCs w:val="18"/>
                        <w:lang w:val="es-ES"/>
                      </w:rPr>
                      <w:t>Pje. Virgen de la Alegría, 14, 28027, Madrid (España) | Tel: (+34) 914 05 72 60</w:t>
                    </w: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6681C" w14:textId="77777777" w:rsidR="0058539B" w:rsidRDefault="0058539B" w:rsidP="00E96FBA">
      <w:pPr>
        <w:spacing w:after="0" w:line="240" w:lineRule="auto"/>
      </w:pPr>
      <w:r>
        <w:separator/>
      </w:r>
    </w:p>
  </w:footnote>
  <w:footnote w:type="continuationSeparator" w:id="0">
    <w:p w14:paraId="456E0A92" w14:textId="77777777" w:rsidR="0058539B" w:rsidRDefault="0058539B" w:rsidP="00E96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8B8B" w14:textId="01CDE0F5" w:rsidR="00696692" w:rsidRDefault="00D11F87">
    <w:pPr>
      <w:pStyle w:val="Encabezado"/>
    </w:pPr>
    <w:r>
      <w:rPr>
        <w:b/>
        <w:bCs/>
        <w:noProof/>
        <w:lang w:val="ca-ES" w:eastAsia="ca-ES"/>
      </w:rPr>
      <w:drawing>
        <wp:anchor distT="0" distB="0" distL="114300" distR="114300" simplePos="0" relativeHeight="251666432" behindDoc="1" locked="0" layoutInCell="1" allowOverlap="1" wp14:anchorId="31CCA3D3" wp14:editId="7448355A">
          <wp:simplePos x="0" y="0"/>
          <wp:positionH relativeFrom="column">
            <wp:posOffset>4578985</wp:posOffset>
          </wp:positionH>
          <wp:positionV relativeFrom="paragraph">
            <wp:posOffset>-165735</wp:posOffset>
          </wp:positionV>
          <wp:extent cx="1221740" cy="459105"/>
          <wp:effectExtent l="0" t="0" r="0" b="0"/>
          <wp:wrapTight wrapText="bothSides">
            <wp:wrapPolygon edited="0">
              <wp:start x="1684" y="0"/>
              <wp:lineTo x="2358" y="15237"/>
              <wp:lineTo x="2694" y="19718"/>
              <wp:lineTo x="3705" y="20614"/>
              <wp:lineTo x="7410" y="20614"/>
              <wp:lineTo x="9094" y="20614"/>
              <wp:lineTo x="11451" y="20614"/>
              <wp:lineTo x="20545" y="15237"/>
              <wp:lineTo x="20881" y="4481"/>
              <wp:lineTo x="18524" y="0"/>
              <wp:lineTo x="1684"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45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719F">
      <w:rPr>
        <w:noProof/>
        <w:lang w:val="ca-ES" w:eastAsia="ca-ES"/>
      </w:rPr>
      <w:drawing>
        <wp:anchor distT="0" distB="0" distL="114300" distR="114300" simplePos="0" relativeHeight="251656192" behindDoc="1" locked="0" layoutInCell="1" allowOverlap="1" wp14:anchorId="126C95FE" wp14:editId="57915393">
          <wp:simplePos x="0" y="0"/>
          <wp:positionH relativeFrom="column">
            <wp:posOffset>-191135</wp:posOffset>
          </wp:positionH>
          <wp:positionV relativeFrom="paragraph">
            <wp:posOffset>-293370</wp:posOffset>
          </wp:positionV>
          <wp:extent cx="1496695" cy="590550"/>
          <wp:effectExtent l="0" t="0" r="8255" b="0"/>
          <wp:wrapTight wrapText="bothSides">
            <wp:wrapPolygon edited="0">
              <wp:start x="0" y="0"/>
              <wp:lineTo x="0" y="20903"/>
              <wp:lineTo x="21444" y="20903"/>
              <wp:lineTo x="21444"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Luzan5_horizontal_color_1080x1080_Mesa de trabajo 1 copia.jpg"/>
                  <pic:cNvPicPr/>
                </pic:nvPicPr>
                <pic:blipFill rotWithShape="1">
                  <a:blip r:embed="rId2" cstate="print">
                    <a:extLst>
                      <a:ext uri="{28A0092B-C50C-407E-A947-70E740481C1C}">
                        <a14:useLocalDpi xmlns:a14="http://schemas.microsoft.com/office/drawing/2010/main" val="0"/>
                      </a:ext>
                    </a:extLst>
                  </a:blip>
                  <a:srcRect t="29643" b="30939"/>
                  <a:stretch/>
                </pic:blipFill>
                <pic:spPr bwMode="auto">
                  <a:xfrm>
                    <a:off x="0" y="0"/>
                    <a:ext cx="1496695" cy="59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B11"/>
    <w:multiLevelType w:val="multilevel"/>
    <w:tmpl w:val="53D698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1584C"/>
    <w:multiLevelType w:val="multilevel"/>
    <w:tmpl w:val="5E928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A2F76DA"/>
    <w:multiLevelType w:val="multilevel"/>
    <w:tmpl w:val="D6CC05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F30FF"/>
    <w:multiLevelType w:val="hybridMultilevel"/>
    <w:tmpl w:val="DB9C890E"/>
    <w:lvl w:ilvl="0" w:tplc="95807852">
      <w:start w:val="1"/>
      <w:numFmt w:val="decimal"/>
      <w:lvlText w:val="%1."/>
      <w:lvlJc w:val="left"/>
      <w:pPr>
        <w:ind w:left="720" w:hanging="360"/>
      </w:pPr>
    </w:lvl>
    <w:lvl w:ilvl="1" w:tplc="95807852" w:tentative="1">
      <w:start w:val="1"/>
      <w:numFmt w:val="lowerLetter"/>
      <w:lvlText w:val="%2."/>
      <w:lvlJc w:val="left"/>
      <w:pPr>
        <w:ind w:left="1440" w:hanging="360"/>
      </w:pPr>
    </w:lvl>
    <w:lvl w:ilvl="2" w:tplc="95807852" w:tentative="1">
      <w:start w:val="1"/>
      <w:numFmt w:val="lowerRoman"/>
      <w:lvlText w:val="%3."/>
      <w:lvlJc w:val="right"/>
      <w:pPr>
        <w:ind w:left="2160" w:hanging="180"/>
      </w:pPr>
    </w:lvl>
    <w:lvl w:ilvl="3" w:tplc="95807852" w:tentative="1">
      <w:start w:val="1"/>
      <w:numFmt w:val="decimal"/>
      <w:lvlText w:val="%4."/>
      <w:lvlJc w:val="left"/>
      <w:pPr>
        <w:ind w:left="2880" w:hanging="360"/>
      </w:pPr>
    </w:lvl>
    <w:lvl w:ilvl="4" w:tplc="95807852" w:tentative="1">
      <w:start w:val="1"/>
      <w:numFmt w:val="lowerLetter"/>
      <w:lvlText w:val="%5."/>
      <w:lvlJc w:val="left"/>
      <w:pPr>
        <w:ind w:left="3600" w:hanging="360"/>
      </w:pPr>
    </w:lvl>
    <w:lvl w:ilvl="5" w:tplc="95807852" w:tentative="1">
      <w:start w:val="1"/>
      <w:numFmt w:val="lowerRoman"/>
      <w:lvlText w:val="%6."/>
      <w:lvlJc w:val="right"/>
      <w:pPr>
        <w:ind w:left="4320" w:hanging="180"/>
      </w:pPr>
    </w:lvl>
    <w:lvl w:ilvl="6" w:tplc="95807852" w:tentative="1">
      <w:start w:val="1"/>
      <w:numFmt w:val="decimal"/>
      <w:lvlText w:val="%7."/>
      <w:lvlJc w:val="left"/>
      <w:pPr>
        <w:ind w:left="5040" w:hanging="360"/>
      </w:pPr>
    </w:lvl>
    <w:lvl w:ilvl="7" w:tplc="95807852" w:tentative="1">
      <w:start w:val="1"/>
      <w:numFmt w:val="lowerLetter"/>
      <w:lvlText w:val="%8."/>
      <w:lvlJc w:val="left"/>
      <w:pPr>
        <w:ind w:left="5760" w:hanging="360"/>
      </w:pPr>
    </w:lvl>
    <w:lvl w:ilvl="8" w:tplc="95807852" w:tentative="1">
      <w:start w:val="1"/>
      <w:numFmt w:val="lowerRoman"/>
      <w:lvlText w:val="%9."/>
      <w:lvlJc w:val="right"/>
      <w:pPr>
        <w:ind w:left="6480" w:hanging="180"/>
      </w:p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1E8419B"/>
    <w:multiLevelType w:val="hybridMultilevel"/>
    <w:tmpl w:val="18EECBCA"/>
    <w:lvl w:ilvl="0" w:tplc="465948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D4672B8"/>
    <w:multiLevelType w:val="hybridMultilevel"/>
    <w:tmpl w:val="7F5A2E2E"/>
    <w:lvl w:ilvl="0" w:tplc="0C0A0001">
      <w:start w:val="1"/>
      <w:numFmt w:val="bullet"/>
      <w:lvlText w:val=""/>
      <w:lvlJc w:val="left"/>
      <w:pPr>
        <w:ind w:left="936" w:hanging="360"/>
      </w:pPr>
      <w:rPr>
        <w:rFonts w:ascii="Symbol" w:hAnsi="Symbol" w:hint="default"/>
      </w:rPr>
    </w:lvl>
    <w:lvl w:ilvl="1" w:tplc="0C0A0003" w:tentative="1">
      <w:start w:val="1"/>
      <w:numFmt w:val="bullet"/>
      <w:lvlText w:val="o"/>
      <w:lvlJc w:val="left"/>
      <w:pPr>
        <w:ind w:left="1656" w:hanging="360"/>
      </w:pPr>
      <w:rPr>
        <w:rFonts w:ascii="Courier New" w:hAnsi="Courier New" w:cs="Courier New" w:hint="default"/>
      </w:rPr>
    </w:lvl>
    <w:lvl w:ilvl="2" w:tplc="0C0A0005" w:tentative="1">
      <w:start w:val="1"/>
      <w:numFmt w:val="bullet"/>
      <w:lvlText w:val=""/>
      <w:lvlJc w:val="left"/>
      <w:pPr>
        <w:ind w:left="2376" w:hanging="360"/>
      </w:pPr>
      <w:rPr>
        <w:rFonts w:ascii="Wingdings" w:hAnsi="Wingdings" w:hint="default"/>
      </w:rPr>
    </w:lvl>
    <w:lvl w:ilvl="3" w:tplc="0C0A0001" w:tentative="1">
      <w:start w:val="1"/>
      <w:numFmt w:val="bullet"/>
      <w:lvlText w:val=""/>
      <w:lvlJc w:val="left"/>
      <w:pPr>
        <w:ind w:left="3096" w:hanging="360"/>
      </w:pPr>
      <w:rPr>
        <w:rFonts w:ascii="Symbol" w:hAnsi="Symbol" w:hint="default"/>
      </w:rPr>
    </w:lvl>
    <w:lvl w:ilvl="4" w:tplc="0C0A0003" w:tentative="1">
      <w:start w:val="1"/>
      <w:numFmt w:val="bullet"/>
      <w:lvlText w:val="o"/>
      <w:lvlJc w:val="left"/>
      <w:pPr>
        <w:ind w:left="3816" w:hanging="360"/>
      </w:pPr>
      <w:rPr>
        <w:rFonts w:ascii="Courier New" w:hAnsi="Courier New" w:cs="Courier New" w:hint="default"/>
      </w:rPr>
    </w:lvl>
    <w:lvl w:ilvl="5" w:tplc="0C0A0005" w:tentative="1">
      <w:start w:val="1"/>
      <w:numFmt w:val="bullet"/>
      <w:lvlText w:val=""/>
      <w:lvlJc w:val="left"/>
      <w:pPr>
        <w:ind w:left="4536" w:hanging="360"/>
      </w:pPr>
      <w:rPr>
        <w:rFonts w:ascii="Wingdings" w:hAnsi="Wingdings" w:hint="default"/>
      </w:rPr>
    </w:lvl>
    <w:lvl w:ilvl="6" w:tplc="0C0A0001" w:tentative="1">
      <w:start w:val="1"/>
      <w:numFmt w:val="bullet"/>
      <w:lvlText w:val=""/>
      <w:lvlJc w:val="left"/>
      <w:pPr>
        <w:ind w:left="5256" w:hanging="360"/>
      </w:pPr>
      <w:rPr>
        <w:rFonts w:ascii="Symbol" w:hAnsi="Symbol" w:hint="default"/>
      </w:rPr>
    </w:lvl>
    <w:lvl w:ilvl="7" w:tplc="0C0A0003" w:tentative="1">
      <w:start w:val="1"/>
      <w:numFmt w:val="bullet"/>
      <w:lvlText w:val="o"/>
      <w:lvlJc w:val="left"/>
      <w:pPr>
        <w:ind w:left="5976" w:hanging="360"/>
      </w:pPr>
      <w:rPr>
        <w:rFonts w:ascii="Courier New" w:hAnsi="Courier New" w:cs="Courier New" w:hint="default"/>
      </w:rPr>
    </w:lvl>
    <w:lvl w:ilvl="8" w:tplc="0C0A0005" w:tentative="1">
      <w:start w:val="1"/>
      <w:numFmt w:val="bullet"/>
      <w:lvlText w:val=""/>
      <w:lvlJc w:val="left"/>
      <w:pPr>
        <w:ind w:left="6696" w:hanging="360"/>
      </w:pPr>
      <w:rPr>
        <w:rFonts w:ascii="Wingdings" w:hAnsi="Wingdings" w:hint="default"/>
      </w:rPr>
    </w:lvl>
  </w:abstractNum>
  <w:abstractNum w:abstractNumId="8" w15:restartNumberingAfterBreak="0">
    <w:nsid w:val="4C546BFC"/>
    <w:multiLevelType w:val="multilevel"/>
    <w:tmpl w:val="D47E7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57F30F1"/>
    <w:multiLevelType w:val="hybridMultilevel"/>
    <w:tmpl w:val="A2FE88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9055C1D"/>
    <w:multiLevelType w:val="multilevel"/>
    <w:tmpl w:val="1E60A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3B6882"/>
    <w:multiLevelType w:val="hybridMultilevel"/>
    <w:tmpl w:val="F25C66E6"/>
    <w:lvl w:ilvl="0" w:tplc="0C0A0001">
      <w:start w:val="1"/>
      <w:numFmt w:val="bullet"/>
      <w:lvlText w:val=""/>
      <w:lvlJc w:val="left"/>
      <w:pPr>
        <w:ind w:left="720" w:hanging="360"/>
      </w:pPr>
      <w:rPr>
        <w:rFonts w:ascii="Symbol" w:hAnsi="Symbol" w:hint="default"/>
      </w:rPr>
    </w:lvl>
    <w:lvl w:ilvl="1" w:tplc="231E9CF4">
      <w:numFmt w:val="bullet"/>
      <w:lvlText w:val=""/>
      <w:lvlJc w:val="left"/>
      <w:pPr>
        <w:ind w:left="1440" w:hanging="360"/>
      </w:pPr>
      <w:rPr>
        <w:rFonts w:ascii="Wingdings" w:eastAsiaTheme="minorHAnsi" w:hAnsi="Wingding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E4D28ED"/>
    <w:multiLevelType w:val="multilevel"/>
    <w:tmpl w:val="9EB40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8215B6"/>
    <w:multiLevelType w:val="multilevel"/>
    <w:tmpl w:val="2EA27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31387130">
    <w:abstractNumId w:val="10"/>
  </w:num>
  <w:num w:numId="2" w16cid:durableId="1635453043">
    <w:abstractNumId w:val="13"/>
  </w:num>
  <w:num w:numId="3" w16cid:durableId="474952470">
    <w:abstractNumId w:val="16"/>
  </w:num>
  <w:num w:numId="4" w16cid:durableId="157498180">
    <w:abstractNumId w:val="12"/>
  </w:num>
  <w:num w:numId="5" w16cid:durableId="384448606">
    <w:abstractNumId w:val="5"/>
  </w:num>
  <w:num w:numId="6" w16cid:durableId="1245991290">
    <w:abstractNumId w:val="2"/>
  </w:num>
  <w:num w:numId="7" w16cid:durableId="1500732821">
    <w:abstractNumId w:val="9"/>
  </w:num>
  <w:num w:numId="8" w16cid:durableId="1418556043">
    <w:abstractNumId w:val="6"/>
  </w:num>
  <w:num w:numId="9" w16cid:durableId="684213291">
    <w:abstractNumId w:val="4"/>
  </w:num>
  <w:num w:numId="10" w16cid:durableId="124469390">
    <w:abstractNumId w:val="15"/>
  </w:num>
  <w:num w:numId="11" w16cid:durableId="1602686260">
    <w:abstractNumId w:val="14"/>
  </w:num>
  <w:num w:numId="12" w16cid:durableId="2147121132">
    <w:abstractNumId w:val="7"/>
  </w:num>
  <w:num w:numId="13" w16cid:durableId="155389852">
    <w:abstractNumId w:val="0"/>
  </w:num>
  <w:num w:numId="14" w16cid:durableId="139079182">
    <w:abstractNumId w:val="1"/>
  </w:num>
  <w:num w:numId="15" w16cid:durableId="1480462608">
    <w:abstractNumId w:val="17"/>
  </w:num>
  <w:num w:numId="16" w16cid:durableId="1768502352">
    <w:abstractNumId w:val="11"/>
  </w:num>
  <w:num w:numId="17" w16cid:durableId="840510128">
    <w:abstractNumId w:val="8"/>
  </w:num>
  <w:num w:numId="18" w16cid:durableId="964046170">
    <w:abstractNumId w:val="3"/>
  </w:num>
  <w:num w:numId="19" w16cid:durableId="11680555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00F1E"/>
    <w:rsid w:val="00030D35"/>
    <w:rsid w:val="00051751"/>
    <w:rsid w:val="00063B78"/>
    <w:rsid w:val="00065F9C"/>
    <w:rsid w:val="000812CA"/>
    <w:rsid w:val="000839BB"/>
    <w:rsid w:val="00087723"/>
    <w:rsid w:val="000B370E"/>
    <w:rsid w:val="000D0A56"/>
    <w:rsid w:val="000D3534"/>
    <w:rsid w:val="000F07EE"/>
    <w:rsid w:val="000F6147"/>
    <w:rsid w:val="00106463"/>
    <w:rsid w:val="00107185"/>
    <w:rsid w:val="0011163D"/>
    <w:rsid w:val="00112029"/>
    <w:rsid w:val="00127DDE"/>
    <w:rsid w:val="00132CE8"/>
    <w:rsid w:val="00135412"/>
    <w:rsid w:val="0014719F"/>
    <w:rsid w:val="00151FED"/>
    <w:rsid w:val="001541EE"/>
    <w:rsid w:val="001554BD"/>
    <w:rsid w:val="00172868"/>
    <w:rsid w:val="001922A1"/>
    <w:rsid w:val="001B6D37"/>
    <w:rsid w:val="001D3C4A"/>
    <w:rsid w:val="001D59B7"/>
    <w:rsid w:val="001D6756"/>
    <w:rsid w:val="001D6E22"/>
    <w:rsid w:val="001F66BC"/>
    <w:rsid w:val="0020112B"/>
    <w:rsid w:val="002056C9"/>
    <w:rsid w:val="00215C60"/>
    <w:rsid w:val="00230DBD"/>
    <w:rsid w:val="0023697C"/>
    <w:rsid w:val="00266BF3"/>
    <w:rsid w:val="002709CB"/>
    <w:rsid w:val="00280360"/>
    <w:rsid w:val="00285C64"/>
    <w:rsid w:val="002862C1"/>
    <w:rsid w:val="002939B7"/>
    <w:rsid w:val="002A0CFA"/>
    <w:rsid w:val="002A784C"/>
    <w:rsid w:val="002B0C59"/>
    <w:rsid w:val="002B1CF2"/>
    <w:rsid w:val="002C372E"/>
    <w:rsid w:val="002E1B9E"/>
    <w:rsid w:val="002E6411"/>
    <w:rsid w:val="00300295"/>
    <w:rsid w:val="0030340C"/>
    <w:rsid w:val="0031588C"/>
    <w:rsid w:val="00322300"/>
    <w:rsid w:val="003372DF"/>
    <w:rsid w:val="00340C16"/>
    <w:rsid w:val="0034527E"/>
    <w:rsid w:val="00356544"/>
    <w:rsid w:val="00360801"/>
    <w:rsid w:val="0036081E"/>
    <w:rsid w:val="00360C38"/>
    <w:rsid w:val="00361FF4"/>
    <w:rsid w:val="003701BA"/>
    <w:rsid w:val="0038343D"/>
    <w:rsid w:val="0039010E"/>
    <w:rsid w:val="003B1619"/>
    <w:rsid w:val="003B5299"/>
    <w:rsid w:val="003D670F"/>
    <w:rsid w:val="00402369"/>
    <w:rsid w:val="00437BCD"/>
    <w:rsid w:val="00440147"/>
    <w:rsid w:val="004460FB"/>
    <w:rsid w:val="0044707C"/>
    <w:rsid w:val="00481408"/>
    <w:rsid w:val="00493A0C"/>
    <w:rsid w:val="004A558B"/>
    <w:rsid w:val="004D6B48"/>
    <w:rsid w:val="004E0CC3"/>
    <w:rsid w:val="004E74E5"/>
    <w:rsid w:val="00502252"/>
    <w:rsid w:val="005045FA"/>
    <w:rsid w:val="005067F4"/>
    <w:rsid w:val="005140B0"/>
    <w:rsid w:val="00515A44"/>
    <w:rsid w:val="00515C60"/>
    <w:rsid w:val="00524475"/>
    <w:rsid w:val="00527821"/>
    <w:rsid w:val="00531A4E"/>
    <w:rsid w:val="00535F5A"/>
    <w:rsid w:val="00555F58"/>
    <w:rsid w:val="00570F53"/>
    <w:rsid w:val="00571B8C"/>
    <w:rsid w:val="00577A85"/>
    <w:rsid w:val="00583289"/>
    <w:rsid w:val="0058539B"/>
    <w:rsid w:val="00585797"/>
    <w:rsid w:val="00591FE6"/>
    <w:rsid w:val="005A579F"/>
    <w:rsid w:val="005B007D"/>
    <w:rsid w:val="005B31E5"/>
    <w:rsid w:val="005B4136"/>
    <w:rsid w:val="005D75E2"/>
    <w:rsid w:val="005E5C10"/>
    <w:rsid w:val="005F50B7"/>
    <w:rsid w:val="00602180"/>
    <w:rsid w:val="00614896"/>
    <w:rsid w:val="00617C2E"/>
    <w:rsid w:val="006205A9"/>
    <w:rsid w:val="00622118"/>
    <w:rsid w:val="00636A54"/>
    <w:rsid w:val="00641878"/>
    <w:rsid w:val="00645264"/>
    <w:rsid w:val="0064648E"/>
    <w:rsid w:val="00661865"/>
    <w:rsid w:val="00662D54"/>
    <w:rsid w:val="00680BDF"/>
    <w:rsid w:val="00692562"/>
    <w:rsid w:val="00696692"/>
    <w:rsid w:val="006A23DB"/>
    <w:rsid w:val="006D539D"/>
    <w:rsid w:val="006E278F"/>
    <w:rsid w:val="006E6663"/>
    <w:rsid w:val="007418EA"/>
    <w:rsid w:val="00744DF5"/>
    <w:rsid w:val="007522D3"/>
    <w:rsid w:val="00754452"/>
    <w:rsid w:val="00756091"/>
    <w:rsid w:val="00757387"/>
    <w:rsid w:val="0077537A"/>
    <w:rsid w:val="007858B0"/>
    <w:rsid w:val="007964A2"/>
    <w:rsid w:val="007B7A59"/>
    <w:rsid w:val="007E3110"/>
    <w:rsid w:val="00801EC2"/>
    <w:rsid w:val="00805773"/>
    <w:rsid w:val="008121BE"/>
    <w:rsid w:val="008131D0"/>
    <w:rsid w:val="00841218"/>
    <w:rsid w:val="00846193"/>
    <w:rsid w:val="008770CC"/>
    <w:rsid w:val="00891625"/>
    <w:rsid w:val="00892605"/>
    <w:rsid w:val="008A524E"/>
    <w:rsid w:val="008A622D"/>
    <w:rsid w:val="008B3AC2"/>
    <w:rsid w:val="008B4C92"/>
    <w:rsid w:val="008C0CE0"/>
    <w:rsid w:val="008C4662"/>
    <w:rsid w:val="008C5B14"/>
    <w:rsid w:val="008D0F66"/>
    <w:rsid w:val="008D268A"/>
    <w:rsid w:val="008D6A51"/>
    <w:rsid w:val="008E63CF"/>
    <w:rsid w:val="008F356A"/>
    <w:rsid w:val="008F46BA"/>
    <w:rsid w:val="008F680D"/>
    <w:rsid w:val="00906FCE"/>
    <w:rsid w:val="00924C8E"/>
    <w:rsid w:val="00955997"/>
    <w:rsid w:val="00961B06"/>
    <w:rsid w:val="00965609"/>
    <w:rsid w:val="009666B9"/>
    <w:rsid w:val="0099756E"/>
    <w:rsid w:val="009C249E"/>
    <w:rsid w:val="009C4398"/>
    <w:rsid w:val="009D74D9"/>
    <w:rsid w:val="00A3058A"/>
    <w:rsid w:val="00A41AA0"/>
    <w:rsid w:val="00A43066"/>
    <w:rsid w:val="00A53F4C"/>
    <w:rsid w:val="00A742A6"/>
    <w:rsid w:val="00A7456D"/>
    <w:rsid w:val="00A80B7B"/>
    <w:rsid w:val="00A850A6"/>
    <w:rsid w:val="00AA4C44"/>
    <w:rsid w:val="00AA66FF"/>
    <w:rsid w:val="00AA6839"/>
    <w:rsid w:val="00AC197E"/>
    <w:rsid w:val="00AC1FD5"/>
    <w:rsid w:val="00AD6E06"/>
    <w:rsid w:val="00AF3BB7"/>
    <w:rsid w:val="00B016AD"/>
    <w:rsid w:val="00B0788E"/>
    <w:rsid w:val="00B118CB"/>
    <w:rsid w:val="00B21D59"/>
    <w:rsid w:val="00B30EF4"/>
    <w:rsid w:val="00B400F6"/>
    <w:rsid w:val="00B63134"/>
    <w:rsid w:val="00B975EC"/>
    <w:rsid w:val="00BA0BB9"/>
    <w:rsid w:val="00BA130B"/>
    <w:rsid w:val="00BA4115"/>
    <w:rsid w:val="00BA52B7"/>
    <w:rsid w:val="00BA6CF5"/>
    <w:rsid w:val="00BB2A1F"/>
    <w:rsid w:val="00BD419F"/>
    <w:rsid w:val="00BE2748"/>
    <w:rsid w:val="00BE61FE"/>
    <w:rsid w:val="00BE72BE"/>
    <w:rsid w:val="00BF0314"/>
    <w:rsid w:val="00BF2059"/>
    <w:rsid w:val="00BF79E0"/>
    <w:rsid w:val="00C01653"/>
    <w:rsid w:val="00C019AF"/>
    <w:rsid w:val="00C07DE5"/>
    <w:rsid w:val="00C2726B"/>
    <w:rsid w:val="00C41E2D"/>
    <w:rsid w:val="00C43305"/>
    <w:rsid w:val="00C67441"/>
    <w:rsid w:val="00C90797"/>
    <w:rsid w:val="00C9376B"/>
    <w:rsid w:val="00C9465F"/>
    <w:rsid w:val="00CA2867"/>
    <w:rsid w:val="00CA5AE6"/>
    <w:rsid w:val="00CB01A0"/>
    <w:rsid w:val="00CE7EFF"/>
    <w:rsid w:val="00CF094B"/>
    <w:rsid w:val="00CF753B"/>
    <w:rsid w:val="00D07815"/>
    <w:rsid w:val="00D11F87"/>
    <w:rsid w:val="00D1763D"/>
    <w:rsid w:val="00D25FF6"/>
    <w:rsid w:val="00D319F4"/>
    <w:rsid w:val="00D45B56"/>
    <w:rsid w:val="00D50F2B"/>
    <w:rsid w:val="00D54F00"/>
    <w:rsid w:val="00D60DBF"/>
    <w:rsid w:val="00D613DE"/>
    <w:rsid w:val="00D61764"/>
    <w:rsid w:val="00D61C3D"/>
    <w:rsid w:val="00D64AA7"/>
    <w:rsid w:val="00D83593"/>
    <w:rsid w:val="00D93254"/>
    <w:rsid w:val="00DA79A9"/>
    <w:rsid w:val="00DD6199"/>
    <w:rsid w:val="00DF064E"/>
    <w:rsid w:val="00DF12C8"/>
    <w:rsid w:val="00E02123"/>
    <w:rsid w:val="00E10564"/>
    <w:rsid w:val="00E14544"/>
    <w:rsid w:val="00E20BAD"/>
    <w:rsid w:val="00E24F41"/>
    <w:rsid w:val="00E52E8B"/>
    <w:rsid w:val="00E54789"/>
    <w:rsid w:val="00E66AD3"/>
    <w:rsid w:val="00E96A30"/>
    <w:rsid w:val="00E96FBA"/>
    <w:rsid w:val="00EA56E0"/>
    <w:rsid w:val="00EA79E9"/>
    <w:rsid w:val="00EB297F"/>
    <w:rsid w:val="00EB72D7"/>
    <w:rsid w:val="00EC21D1"/>
    <w:rsid w:val="00EC7DB9"/>
    <w:rsid w:val="00ED0DCC"/>
    <w:rsid w:val="00ED2627"/>
    <w:rsid w:val="00EE7E03"/>
    <w:rsid w:val="00EF0869"/>
    <w:rsid w:val="00F26E02"/>
    <w:rsid w:val="00F4338A"/>
    <w:rsid w:val="00F437D2"/>
    <w:rsid w:val="00F64F1A"/>
    <w:rsid w:val="00F86DA9"/>
    <w:rsid w:val="00FA1434"/>
    <w:rsid w:val="00FA2227"/>
    <w:rsid w:val="00FB45FF"/>
    <w:rsid w:val="00FC41B1"/>
    <w:rsid w:val="00FC6865"/>
    <w:rsid w:val="00FE1EA4"/>
    <w:rsid w:val="00FF4DC5"/>
    <w:rsid w:val="00FF7F1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D772EA"/>
  <w15:docId w15:val="{25026EBC-6B99-4418-A081-DB6B97B1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1FE"/>
    <w:rPr>
      <w:rFonts w:ascii="Raleway" w:hAnsi="Raleway"/>
    </w:rPr>
  </w:style>
  <w:style w:type="paragraph" w:styleId="Ttulo1">
    <w:name w:val="heading 1"/>
    <w:basedOn w:val="Normal"/>
    <w:next w:val="Normal"/>
    <w:link w:val="Ttulo1Car"/>
    <w:uiPriority w:val="99"/>
    <w:rsid w:val="00C43305"/>
    <w:pPr>
      <w:keepNext/>
      <w:keepLines/>
      <w:spacing w:before="240" w:after="0"/>
      <w:outlineLvl w:val="0"/>
    </w:pPr>
    <w:rPr>
      <w:rFonts w:asciiTheme="majorHAnsi" w:eastAsiaTheme="majorEastAsia" w:hAnsiTheme="majorHAnsi" w:cstheme="majorBidi"/>
      <w:color w:val="AE1A1B" w:themeColor="accent1" w:themeShade="BF"/>
      <w:sz w:val="32"/>
      <w:szCs w:val="32"/>
    </w:rPr>
  </w:style>
  <w:style w:type="paragraph" w:styleId="Ttulo2">
    <w:name w:val="heading 2"/>
    <w:basedOn w:val="Normal"/>
    <w:next w:val="Normal"/>
    <w:link w:val="Ttulo2Car"/>
    <w:uiPriority w:val="99"/>
    <w:semiHidden/>
    <w:unhideWhenUsed/>
    <w:rsid w:val="00AF3BB7"/>
    <w:pPr>
      <w:keepNext/>
      <w:keepLines/>
      <w:spacing w:before="40" w:after="0"/>
      <w:outlineLvl w:val="1"/>
    </w:pPr>
    <w:rPr>
      <w:rFonts w:asciiTheme="majorHAnsi" w:eastAsiaTheme="majorEastAsia" w:hAnsiTheme="majorHAnsi" w:cstheme="majorBidi"/>
      <w:color w:val="AE1A1B"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PHPDOCX">
    <w:name w:val="Heading 1 PHPDOCX"/>
    <w:basedOn w:val="Normal"/>
    <w:next w:val="Normal"/>
    <w:link w:val="Heading1CarPHPDOCX"/>
    <w:uiPriority w:val="9"/>
    <w:qFormat/>
    <w:rsid w:val="005D75E2"/>
    <w:pPr>
      <w:keepNext/>
      <w:keepLines/>
      <w:spacing w:before="480" w:after="0"/>
      <w:outlineLvl w:val="0"/>
    </w:pPr>
    <w:rPr>
      <w:rFonts w:ascii="Raleway SemiBold" w:eastAsiaTheme="majorEastAsia" w:hAnsi="Raleway SemiBold" w:cstheme="majorBidi"/>
      <w:b/>
      <w:bCs/>
      <w:color w:val="DF2E2F"/>
      <w:sz w:val="28"/>
      <w:szCs w:val="28"/>
    </w:rPr>
  </w:style>
  <w:style w:type="paragraph" w:customStyle="1" w:styleId="Heading2PHPDOCX">
    <w:name w:val="Heading 2 PHPDOCX"/>
    <w:basedOn w:val="Normal"/>
    <w:next w:val="Normal"/>
    <w:link w:val="Heading2CarPHPDOCX"/>
    <w:uiPriority w:val="9"/>
    <w:unhideWhenUsed/>
    <w:qFormat/>
    <w:rsid w:val="005D75E2"/>
    <w:pPr>
      <w:keepNext/>
      <w:keepLines/>
      <w:spacing w:before="200" w:after="0"/>
      <w:outlineLvl w:val="1"/>
    </w:pPr>
    <w:rPr>
      <w:rFonts w:ascii="Raleway SemiBold" w:eastAsiaTheme="majorEastAsia" w:hAnsi="Raleway SemiBold" w:cstheme="majorBidi"/>
      <w:b/>
      <w:bCs/>
      <w:color w:val="F0884E"/>
      <w:sz w:val="26"/>
      <w:szCs w:val="26"/>
    </w:rPr>
  </w:style>
  <w:style w:type="paragraph" w:customStyle="1" w:styleId="Heading3PHPDOCX">
    <w:name w:val="Heading 3 PHPDOCX"/>
    <w:basedOn w:val="Normal"/>
    <w:next w:val="Normal"/>
    <w:link w:val="Heading3CarPHPDOCX"/>
    <w:uiPriority w:val="9"/>
    <w:unhideWhenUsed/>
    <w:qFormat/>
    <w:rsid w:val="005D75E2"/>
    <w:pPr>
      <w:keepNext/>
      <w:keepLines/>
      <w:spacing w:before="200" w:after="0"/>
      <w:outlineLvl w:val="2"/>
    </w:pPr>
    <w:rPr>
      <w:rFonts w:ascii="Raleway SemiBold" w:eastAsiaTheme="majorEastAsia" w:hAnsi="Raleway SemiBold" w:cstheme="majorBidi"/>
      <w:b/>
      <w:bCs/>
      <w:color w:val="F0884E"/>
    </w:rPr>
  </w:style>
  <w:style w:type="paragraph" w:customStyle="1" w:styleId="Heading4PHPDOCX">
    <w:name w:val="Heading 4 PHPDOCX"/>
    <w:basedOn w:val="Normal"/>
    <w:next w:val="Normal"/>
    <w:link w:val="Heading4CarPHPDOCX"/>
    <w:uiPriority w:val="9"/>
    <w:unhideWhenUsed/>
    <w:qFormat/>
    <w:rsid w:val="005D75E2"/>
    <w:pPr>
      <w:keepNext/>
      <w:keepLines/>
      <w:spacing w:before="200" w:after="0"/>
      <w:outlineLvl w:val="3"/>
    </w:pPr>
    <w:rPr>
      <w:rFonts w:ascii="Raleway SemiBold" w:eastAsiaTheme="majorEastAsia" w:hAnsi="Raleway SemiBold" w:cstheme="majorBidi"/>
      <w:b/>
      <w:bCs/>
      <w:i/>
      <w:iCs/>
      <w:color w:val="F0884E"/>
    </w:rPr>
  </w:style>
  <w:style w:type="paragraph" w:customStyle="1" w:styleId="Heading5PHPDOCX">
    <w:name w:val="Heading 5 PHPDOCX"/>
    <w:basedOn w:val="Normal"/>
    <w:next w:val="Normal"/>
    <w:link w:val="Heading5CarPHPDOCX"/>
    <w:uiPriority w:val="9"/>
    <w:unhideWhenUsed/>
    <w:qFormat/>
    <w:rsid w:val="001554BD"/>
    <w:pPr>
      <w:keepNext/>
      <w:keepLines/>
      <w:spacing w:before="200" w:after="0"/>
      <w:outlineLvl w:val="4"/>
    </w:pPr>
    <w:rPr>
      <w:rFonts w:eastAsiaTheme="majorEastAsia" w:cstheme="majorBidi"/>
      <w:color w:val="000000" w:themeColor="text1"/>
    </w:rPr>
  </w:style>
  <w:style w:type="paragraph" w:customStyle="1" w:styleId="Heading6PHPDOCX">
    <w:name w:val="Heading 6 PHPDOCX"/>
    <w:basedOn w:val="Normal"/>
    <w:next w:val="Normal"/>
    <w:link w:val="Heading6CarPHPDOCX"/>
    <w:uiPriority w:val="9"/>
    <w:unhideWhenUsed/>
    <w:qFormat/>
    <w:rsid w:val="001554BD"/>
    <w:pPr>
      <w:keepNext/>
      <w:keepLines/>
      <w:spacing w:before="200" w:after="0"/>
      <w:outlineLvl w:val="5"/>
    </w:pPr>
    <w:rPr>
      <w:rFonts w:eastAsiaTheme="majorEastAsia" w:cstheme="majorBidi"/>
      <w:i/>
      <w:iCs/>
      <w:color w:val="000000" w:themeColor="text1"/>
    </w:rPr>
  </w:style>
  <w:style w:type="paragraph" w:customStyle="1" w:styleId="Heading7PHPDOCX">
    <w:name w:val="Heading 7 PHPDOCX"/>
    <w:basedOn w:val="Normal"/>
    <w:next w:val="Normal"/>
    <w:link w:val="Heading7CarPHPDOCX"/>
    <w:uiPriority w:val="9"/>
    <w:unhideWhenUsed/>
    <w:qFormat/>
    <w:rsid w:val="001554BD"/>
    <w:pPr>
      <w:keepNext/>
      <w:keepLines/>
      <w:spacing w:before="200" w:after="0"/>
      <w:outlineLvl w:val="6"/>
    </w:pPr>
    <w:rPr>
      <w:rFonts w:eastAsiaTheme="majorEastAsia" w:cstheme="majorBidi"/>
      <w:i/>
      <w:iCs/>
      <w:color w:val="000000" w:themeColor="text1"/>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5D75E2"/>
    <w:rPr>
      <w:rFonts w:ascii="Raleway SemiBold" w:eastAsiaTheme="majorEastAsia" w:hAnsi="Raleway SemiBold" w:cstheme="majorBidi"/>
      <w:b/>
      <w:bCs/>
      <w:color w:val="DF2E2F"/>
      <w:sz w:val="28"/>
      <w:szCs w:val="28"/>
    </w:rPr>
  </w:style>
  <w:style w:type="character" w:customStyle="1" w:styleId="Heading2CarPHPDOCX">
    <w:name w:val="Heading 2 Car PHPDOCX"/>
    <w:basedOn w:val="DefaultParagraphFontPHPDOCX"/>
    <w:link w:val="Heading2PHPDOCX"/>
    <w:uiPriority w:val="9"/>
    <w:rsid w:val="005D75E2"/>
    <w:rPr>
      <w:rFonts w:ascii="Raleway SemiBold" w:eastAsiaTheme="majorEastAsia" w:hAnsi="Raleway SemiBold" w:cstheme="majorBidi"/>
      <w:b/>
      <w:bCs/>
      <w:color w:val="F0884E"/>
      <w:sz w:val="26"/>
      <w:szCs w:val="26"/>
    </w:rPr>
  </w:style>
  <w:style w:type="character" w:customStyle="1" w:styleId="Heading3CarPHPDOCX">
    <w:name w:val="Heading 3 Car PHPDOCX"/>
    <w:basedOn w:val="DefaultParagraphFontPHPDOCX"/>
    <w:link w:val="Heading3PHPDOCX"/>
    <w:uiPriority w:val="9"/>
    <w:rsid w:val="005D75E2"/>
    <w:rPr>
      <w:rFonts w:ascii="Raleway SemiBold" w:eastAsiaTheme="majorEastAsia" w:hAnsi="Raleway SemiBold" w:cstheme="majorBidi"/>
      <w:b/>
      <w:bCs/>
      <w:color w:val="F0884E"/>
    </w:rPr>
  </w:style>
  <w:style w:type="character" w:customStyle="1" w:styleId="Heading4CarPHPDOCX">
    <w:name w:val="Heading 4 Car PHPDOCX"/>
    <w:basedOn w:val="DefaultParagraphFontPHPDOCX"/>
    <w:link w:val="Heading4PHPDOCX"/>
    <w:uiPriority w:val="9"/>
    <w:rsid w:val="005D75E2"/>
    <w:rPr>
      <w:rFonts w:ascii="Raleway SemiBold" w:eastAsiaTheme="majorEastAsia" w:hAnsi="Raleway SemiBold" w:cstheme="majorBidi"/>
      <w:b/>
      <w:bCs/>
      <w:i/>
      <w:iCs/>
      <w:color w:val="F0884E"/>
    </w:rPr>
  </w:style>
  <w:style w:type="character" w:customStyle="1" w:styleId="Heading5CarPHPDOCX">
    <w:name w:val="Heading 5 Car PHPDOCX"/>
    <w:basedOn w:val="DefaultParagraphFontPHPDOCX"/>
    <w:link w:val="Heading5PHPDOCX"/>
    <w:uiPriority w:val="9"/>
    <w:rsid w:val="001554BD"/>
    <w:rPr>
      <w:rFonts w:ascii="Raleway" w:eastAsiaTheme="majorEastAsia" w:hAnsi="Raleway" w:cstheme="majorBidi"/>
      <w:color w:val="000000" w:themeColor="text1"/>
      <w:sz w:val="24"/>
    </w:rPr>
  </w:style>
  <w:style w:type="character" w:customStyle="1" w:styleId="Heading6CarPHPDOCX">
    <w:name w:val="Heading 6 Car PHPDOCX"/>
    <w:basedOn w:val="DefaultParagraphFontPHPDOCX"/>
    <w:link w:val="Heading6PHPDOCX"/>
    <w:uiPriority w:val="9"/>
    <w:rsid w:val="001554BD"/>
    <w:rPr>
      <w:rFonts w:ascii="Raleway" w:eastAsiaTheme="majorEastAsia" w:hAnsi="Raleway" w:cstheme="majorBidi"/>
      <w:i/>
      <w:iCs/>
      <w:color w:val="000000" w:themeColor="text1"/>
      <w:sz w:val="24"/>
    </w:rPr>
  </w:style>
  <w:style w:type="character" w:customStyle="1" w:styleId="Heading7CarPHPDOCX">
    <w:name w:val="Heading 7 Car PHPDOCX"/>
    <w:basedOn w:val="DefaultParagraphFontPHPDOCX"/>
    <w:link w:val="Heading7PHPDOCX"/>
    <w:uiPriority w:val="9"/>
    <w:rsid w:val="001554BD"/>
    <w:rPr>
      <w:rFonts w:ascii="Raleway" w:eastAsiaTheme="majorEastAsia" w:hAnsi="Raleway" w:cstheme="majorBidi"/>
      <w:i/>
      <w:iCs/>
      <w:color w:val="000000" w:themeColor="text1"/>
      <w:sz w:val="24"/>
    </w:rPr>
  </w:style>
  <w:style w:type="paragraph" w:customStyle="1" w:styleId="TitlePHPDOCX">
    <w:name w:val="Title PHPDOCX"/>
    <w:basedOn w:val="Normal"/>
    <w:next w:val="Normal"/>
    <w:link w:val="TitleCarPHPDOCX"/>
    <w:uiPriority w:val="10"/>
    <w:rsid w:val="001554BD"/>
    <w:pPr>
      <w:pBdr>
        <w:bottom w:val="single" w:sz="8" w:space="4" w:color="DF2E2F" w:themeColor="accent1"/>
      </w:pBdr>
      <w:spacing w:after="300" w:line="240" w:lineRule="auto"/>
      <w:contextualSpacing/>
    </w:pPr>
    <w:rPr>
      <w:rFonts w:eastAsiaTheme="majorEastAsia" w:cstheme="majorBidi"/>
      <w:color w:val="DF2E2F"/>
      <w:spacing w:val="5"/>
      <w:kern w:val="28"/>
      <w:sz w:val="52"/>
      <w:szCs w:val="52"/>
    </w:rPr>
  </w:style>
  <w:style w:type="character" w:customStyle="1" w:styleId="TitleCarPHPDOCX">
    <w:name w:val="Title Car PHPDOCX"/>
    <w:basedOn w:val="DefaultParagraphFontPHPDOCX"/>
    <w:link w:val="TitlePHPDOCX"/>
    <w:uiPriority w:val="10"/>
    <w:rsid w:val="001554BD"/>
    <w:rPr>
      <w:rFonts w:ascii="Raleway" w:eastAsiaTheme="majorEastAsia" w:hAnsi="Raleway" w:cstheme="majorBidi"/>
      <w:color w:val="DF2E2F"/>
      <w:spacing w:val="5"/>
      <w:kern w:val="28"/>
      <w:sz w:val="52"/>
      <w:szCs w:val="52"/>
    </w:rPr>
  </w:style>
  <w:style w:type="paragraph" w:customStyle="1" w:styleId="SubtitlePHPDOCX">
    <w:name w:val="Subtitle PHPDOCX"/>
    <w:basedOn w:val="Normal"/>
    <w:next w:val="Normal"/>
    <w:link w:val="SubtitleCarPHPDOCX"/>
    <w:uiPriority w:val="11"/>
    <w:qFormat/>
    <w:rsid w:val="005D75E2"/>
    <w:pPr>
      <w:numPr>
        <w:ilvl w:val="1"/>
      </w:numPr>
    </w:pPr>
    <w:rPr>
      <w:rFonts w:ascii="Raleway SemiBold" w:eastAsiaTheme="majorEastAsia" w:hAnsi="Raleway SemiBold" w:cstheme="majorBidi"/>
      <w:i/>
      <w:iCs/>
      <w:color w:val="F0884E"/>
      <w:spacing w:val="15"/>
      <w:szCs w:val="24"/>
    </w:rPr>
  </w:style>
  <w:style w:type="character" w:customStyle="1" w:styleId="SubtitleCarPHPDOCX">
    <w:name w:val="Subtitle Car PHPDOCX"/>
    <w:basedOn w:val="DefaultParagraphFontPHPDOCX"/>
    <w:link w:val="SubtitlePHPDOCX"/>
    <w:uiPriority w:val="11"/>
    <w:rsid w:val="005D75E2"/>
    <w:rPr>
      <w:rFonts w:ascii="Raleway SemiBold" w:eastAsiaTheme="majorEastAsia" w:hAnsi="Raleway SemiBold" w:cstheme="majorBidi"/>
      <w:i/>
      <w:iCs/>
      <w:color w:val="F0884E"/>
      <w:spacing w:val="15"/>
      <w:szCs w:val="24"/>
    </w:rPr>
  </w:style>
  <w:style w:type="character" w:customStyle="1" w:styleId="SubtleEmphasisPHPDOCX">
    <w:name w:val="Subtle Emphasis PHPDOCX"/>
    <w:basedOn w:val="DefaultParagraphFontPHPDOCX"/>
    <w:uiPriority w:val="19"/>
    <w:qFormat/>
    <w:rsid w:val="00E66AD3"/>
    <w:rPr>
      <w:rFonts w:ascii="Raleway Medium" w:hAnsi="Raleway Medium"/>
      <w:i/>
      <w:iCs/>
      <w:color w:val="B5B4B3"/>
    </w:rPr>
  </w:style>
  <w:style w:type="character" w:customStyle="1" w:styleId="EmphasisPHPDOCX">
    <w:name w:val="Emphasis PHPDOCX"/>
    <w:basedOn w:val="DefaultParagraphFontPHPDOCX"/>
    <w:uiPriority w:val="20"/>
    <w:qFormat/>
    <w:rsid w:val="001554BD"/>
    <w:rPr>
      <w:rFonts w:ascii="Raleway" w:hAnsi="Raleway"/>
      <w:i/>
      <w:iCs/>
    </w:rPr>
  </w:style>
  <w:style w:type="character" w:customStyle="1" w:styleId="IntenseEmphasisPHPDOCX">
    <w:name w:val="Intense Emphasis PHPDOCX"/>
    <w:basedOn w:val="DefaultParagraphFontPHPDOCX"/>
    <w:uiPriority w:val="21"/>
    <w:qFormat/>
    <w:rsid w:val="005D75E2"/>
    <w:rPr>
      <w:rFonts w:ascii="Raleway SemiBold" w:hAnsi="Raleway SemiBold"/>
      <w:b/>
      <w:bCs/>
      <w:i/>
      <w:iCs/>
      <w:color w:val="F0884E"/>
    </w:rPr>
  </w:style>
  <w:style w:type="character" w:customStyle="1" w:styleId="StrongPHPDOCX">
    <w:name w:val="Strong PHPDOCX"/>
    <w:basedOn w:val="DefaultParagraphFontPHPDOCX"/>
    <w:uiPriority w:val="22"/>
    <w:qFormat/>
    <w:rsid w:val="001554BD"/>
    <w:rPr>
      <w:rFonts w:ascii="Raleway" w:hAnsi="Raleway"/>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rsid w:val="00DF064E"/>
    <w:pPr>
      <w:pBdr>
        <w:bottom w:val="single" w:sz="4" w:space="4" w:color="DF2E2F" w:themeColor="accent1"/>
      </w:pBdr>
      <w:spacing w:before="200" w:after="280"/>
      <w:ind w:left="936" w:right="936"/>
    </w:pPr>
    <w:rPr>
      <w:b/>
      <w:bCs/>
      <w:i/>
      <w:iCs/>
      <w:color w:val="DF2E2F" w:themeColor="accent1"/>
    </w:rPr>
  </w:style>
  <w:style w:type="character" w:customStyle="1" w:styleId="IntenseQuoteCarPHPDOCX">
    <w:name w:val="Intense Quote Car PHPDOCX"/>
    <w:basedOn w:val="DefaultParagraphFontPHPDOCX"/>
    <w:link w:val="IntenseQuotePHPDOCX"/>
    <w:uiPriority w:val="30"/>
    <w:rsid w:val="00DF064E"/>
    <w:rPr>
      <w:b/>
      <w:bCs/>
      <w:i/>
      <w:iCs/>
      <w:color w:val="DF2E2F" w:themeColor="accent1"/>
    </w:rPr>
  </w:style>
  <w:style w:type="character" w:customStyle="1" w:styleId="SubtleReferencePHPDOCX">
    <w:name w:val="Subtle Reference PHPDOCX"/>
    <w:basedOn w:val="DefaultParagraphFontPHPDOCX"/>
    <w:uiPriority w:val="31"/>
    <w:qFormat/>
    <w:rsid w:val="005D75E2"/>
    <w:rPr>
      <w:rFonts w:ascii="Raleway SemiBold" w:hAnsi="Raleway SemiBold"/>
      <w:smallCaps/>
      <w:color w:val="DF2E2F"/>
      <w:u w:val="single"/>
    </w:rPr>
  </w:style>
  <w:style w:type="character" w:customStyle="1" w:styleId="IntenseReferencePHPDOCX">
    <w:name w:val="Intense Reference PHPDOCX"/>
    <w:basedOn w:val="DefaultParagraphFontPHPDOCX"/>
    <w:uiPriority w:val="32"/>
    <w:qFormat/>
    <w:rsid w:val="005D75E2"/>
    <w:rPr>
      <w:rFonts w:ascii="Raleway SemiBold" w:hAnsi="Raleway SemiBold"/>
      <w:b/>
      <w:bCs/>
      <w:smallCaps/>
      <w:color w:val="DF2E2F"/>
      <w:spacing w:val="5"/>
      <w:u w:val="single"/>
    </w:rPr>
  </w:style>
  <w:style w:type="character" w:customStyle="1" w:styleId="BookTitlePHPDOCX">
    <w:name w:val="Book Title PHPDOCX"/>
    <w:basedOn w:val="DefaultParagraphFontPHPDOCX"/>
    <w:uiPriority w:val="33"/>
    <w:qFormat/>
    <w:rsid w:val="005D75E2"/>
    <w:rPr>
      <w:rFonts w:ascii="Raleway SemiBold" w:hAnsi="Raleway SemiBold"/>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5D75E2"/>
    <w:pPr>
      <w:spacing w:after="0" w:line="240" w:lineRule="auto"/>
    </w:pPr>
    <w:rPr>
      <w:rFonts w:ascii="Raleway" w:hAnsi="Raleway"/>
    </w:r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s-ES_tradnl" w:eastAsia="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AE1A1B" w:themeColor="accent1" w:themeShade="BF"/>
      <w:sz w:val="20"/>
      <w:szCs w:val="20"/>
      <w:lang w:val="es-ES_tradnl" w:eastAsia="es-ES_tradnl"/>
    </w:rPr>
    <w:tblPr>
      <w:tblStyleRowBandSize w:val="1"/>
      <w:tblStyleColBandSize w:val="1"/>
      <w:tblInd w:w="0" w:type="dxa"/>
      <w:tblBorders>
        <w:top w:val="single" w:sz="8" w:space="0" w:color="DF2E2F" w:themeColor="accent1"/>
        <w:bottom w:val="single" w:sz="8" w:space="0" w:color="DF2E2F"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F2E2F" w:themeColor="accent1"/>
          <w:left w:val="nil"/>
          <w:bottom w:val="single" w:sz="8" w:space="0" w:color="DF2E2F" w:themeColor="accent1"/>
          <w:right w:val="nil"/>
          <w:insideH w:val="nil"/>
          <w:insideV w:val="nil"/>
        </w:tcBorders>
      </w:tcPr>
    </w:tblStylePr>
    <w:tblStylePr w:type="lastRow">
      <w:pPr>
        <w:spacing w:before="0" w:after="0" w:line="240" w:lineRule="auto"/>
      </w:pPr>
      <w:rPr>
        <w:b/>
        <w:bCs/>
      </w:rPr>
      <w:tblPr/>
      <w:tcPr>
        <w:tcBorders>
          <w:top w:val="single" w:sz="8" w:space="0" w:color="DF2E2F" w:themeColor="accent1"/>
          <w:left w:val="nil"/>
          <w:bottom w:val="single" w:sz="8" w:space="0" w:color="DF2E2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B" w:themeFill="accent1" w:themeFillTint="3F"/>
      </w:tcPr>
    </w:tblStylePr>
    <w:tblStylePr w:type="band1Horz">
      <w:tblPr/>
      <w:tcPr>
        <w:tcBorders>
          <w:left w:val="nil"/>
          <w:right w:val="nil"/>
          <w:insideH w:val="nil"/>
          <w:insideV w:val="nil"/>
        </w:tcBorders>
        <w:shd w:val="clear" w:color="auto" w:fill="F7CBCB" w:themeFill="accent1" w:themeFillTint="3F"/>
      </w:tcPr>
    </w:tblStylePr>
  </w:style>
  <w:style w:type="table" w:customStyle="1" w:styleId="LightShadingAccent2PHPDOCX">
    <w:name w:val="Light Shading Accent 2 PHPDOCX"/>
    <w:uiPriority w:val="60"/>
    <w:rsid w:val="00493A0C"/>
    <w:pPr>
      <w:spacing w:after="0" w:line="240" w:lineRule="auto"/>
    </w:pPr>
    <w:rPr>
      <w:color w:val="BF2600" w:themeColor="accent2" w:themeShade="BF"/>
      <w:sz w:val="20"/>
      <w:szCs w:val="20"/>
      <w:lang w:val="es-ES_tradnl" w:eastAsia="es-ES_tradnl"/>
    </w:rPr>
    <w:tblPr>
      <w:tblStyleRowBandSize w:val="1"/>
      <w:tblStyleColBandSize w:val="1"/>
      <w:tblInd w:w="0" w:type="dxa"/>
      <w:tblBorders>
        <w:top w:val="single" w:sz="8" w:space="0" w:color="FF3300" w:themeColor="accent2"/>
        <w:bottom w:val="single" w:sz="8" w:space="0" w:color="FF33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3300" w:themeColor="accent2"/>
          <w:left w:val="nil"/>
          <w:bottom w:val="single" w:sz="8" w:space="0" w:color="FF3300" w:themeColor="accent2"/>
          <w:right w:val="nil"/>
          <w:insideH w:val="nil"/>
          <w:insideV w:val="nil"/>
        </w:tcBorders>
      </w:tcPr>
    </w:tblStylePr>
    <w:tblStylePr w:type="lastRow">
      <w:pPr>
        <w:spacing w:before="0" w:after="0" w:line="240" w:lineRule="auto"/>
      </w:pPr>
      <w:rPr>
        <w:b/>
        <w:bCs/>
      </w:rPr>
      <w:tblPr/>
      <w:tcPr>
        <w:tcBorders>
          <w:top w:val="single" w:sz="8" w:space="0" w:color="FF3300" w:themeColor="accent2"/>
          <w:left w:val="nil"/>
          <w:bottom w:val="single" w:sz="8" w:space="0" w:color="FF3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CC0" w:themeFill="accent2" w:themeFillTint="3F"/>
      </w:tcPr>
    </w:tblStylePr>
    <w:tblStylePr w:type="band1Horz">
      <w:tblPr/>
      <w:tcPr>
        <w:tcBorders>
          <w:left w:val="nil"/>
          <w:right w:val="nil"/>
          <w:insideH w:val="nil"/>
          <w:insideV w:val="nil"/>
        </w:tcBorders>
        <w:shd w:val="clear" w:color="auto" w:fill="FFCCC0" w:themeFill="accent2" w:themeFillTint="3F"/>
      </w:tcPr>
    </w:tblStylePr>
  </w:style>
  <w:style w:type="table" w:customStyle="1" w:styleId="LightShadingAccent3PHPDOCX">
    <w:name w:val="Light Shading Accent 3 PHPDOCX"/>
    <w:uiPriority w:val="60"/>
    <w:rsid w:val="00493A0C"/>
    <w:pPr>
      <w:spacing w:after="0" w:line="240" w:lineRule="auto"/>
    </w:pPr>
    <w:rPr>
      <w:color w:val="087456" w:themeColor="accent3" w:themeShade="BF"/>
      <w:sz w:val="20"/>
      <w:szCs w:val="20"/>
      <w:lang w:val="es-ES_tradnl" w:eastAsia="es-ES_tradnl"/>
    </w:rPr>
    <w:tblPr>
      <w:tblStyleRowBandSize w:val="1"/>
      <w:tblStyleColBandSize w:val="1"/>
      <w:tblInd w:w="0" w:type="dxa"/>
      <w:tblBorders>
        <w:top w:val="single" w:sz="8" w:space="0" w:color="0B9B74" w:themeColor="accent3"/>
        <w:bottom w:val="single" w:sz="8" w:space="0" w:color="0B9B7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B9B74" w:themeColor="accent3"/>
          <w:left w:val="nil"/>
          <w:bottom w:val="single" w:sz="8" w:space="0" w:color="0B9B74" w:themeColor="accent3"/>
          <w:right w:val="nil"/>
          <w:insideH w:val="nil"/>
          <w:insideV w:val="nil"/>
        </w:tcBorders>
      </w:tcPr>
    </w:tblStylePr>
    <w:tblStylePr w:type="lastRow">
      <w:pPr>
        <w:spacing w:before="0" w:after="0" w:line="240" w:lineRule="auto"/>
      </w:pPr>
      <w:rPr>
        <w:b/>
        <w:bCs/>
      </w:rPr>
      <w:tblPr/>
      <w:tcPr>
        <w:tcBorders>
          <w:top w:val="single" w:sz="8" w:space="0" w:color="0B9B74" w:themeColor="accent3"/>
          <w:left w:val="nil"/>
          <w:bottom w:val="single" w:sz="8" w:space="0" w:color="0B9B7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F9E5" w:themeFill="accent3" w:themeFillTint="3F"/>
      </w:tcPr>
    </w:tblStylePr>
    <w:tblStylePr w:type="band1Horz">
      <w:tblPr/>
      <w:tcPr>
        <w:tcBorders>
          <w:left w:val="nil"/>
          <w:right w:val="nil"/>
          <w:insideH w:val="nil"/>
          <w:insideV w:val="nil"/>
        </w:tcBorders>
        <w:shd w:val="clear" w:color="auto" w:fill="AFF9E5" w:themeFill="accent3" w:themeFillTint="3F"/>
      </w:tcPr>
    </w:tblStylePr>
  </w:style>
  <w:style w:type="table" w:customStyle="1" w:styleId="LightShadingAccent4PHPDOCX">
    <w:name w:val="Light Shading Accent 4 PHPDOCX"/>
    <w:uiPriority w:val="60"/>
    <w:rsid w:val="00493A0C"/>
    <w:pPr>
      <w:spacing w:after="0" w:line="240" w:lineRule="auto"/>
    </w:pPr>
    <w:rPr>
      <w:color w:val="0C9A73" w:themeColor="accent4" w:themeShade="BF"/>
      <w:sz w:val="20"/>
      <w:szCs w:val="20"/>
      <w:lang w:val="es-ES_tradnl" w:eastAsia="es-ES_tradnl"/>
    </w:rPr>
    <w:tblPr>
      <w:tblStyleRowBandSize w:val="1"/>
      <w:tblStyleColBandSize w:val="1"/>
      <w:tblInd w:w="0" w:type="dxa"/>
      <w:tblBorders>
        <w:top w:val="single" w:sz="8" w:space="0" w:color="10CF9B" w:themeColor="accent4"/>
        <w:bottom w:val="single" w:sz="8" w:space="0" w:color="10CF9B"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customStyle="1" w:styleId="LightShadingAccent5PHPDOCX">
    <w:name w:val="Light Shading Accent 5 PHPDOCX"/>
    <w:uiPriority w:val="60"/>
    <w:rsid w:val="00493A0C"/>
    <w:pPr>
      <w:spacing w:after="0" w:line="240" w:lineRule="auto"/>
    </w:pPr>
    <w:rPr>
      <w:color w:val="BF8F00" w:themeColor="accent5" w:themeShade="BF"/>
      <w:sz w:val="20"/>
      <w:szCs w:val="20"/>
      <w:lang w:val="es-ES_tradnl" w:eastAsia="es-ES_tradnl"/>
    </w:rPr>
    <w:tblPr>
      <w:tblStyleRowBandSize w:val="1"/>
      <w:tblStyleColBandSize w:val="1"/>
      <w:tblInd w:w="0" w:type="dxa"/>
      <w:tblBorders>
        <w:top w:val="single" w:sz="8" w:space="0" w:color="FFC000" w:themeColor="accent5"/>
        <w:bottom w:val="single" w:sz="8" w:space="0" w:color="FFC0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5"/>
          <w:left w:val="nil"/>
          <w:bottom w:val="single" w:sz="8" w:space="0" w:color="FFC000" w:themeColor="accent5"/>
          <w:right w:val="nil"/>
          <w:insideH w:val="nil"/>
          <w:insideV w:val="nil"/>
        </w:tcBorders>
      </w:tcPr>
    </w:tblStylePr>
    <w:tblStylePr w:type="lastRow">
      <w:pPr>
        <w:spacing w:before="0" w:after="0" w:line="240" w:lineRule="auto"/>
      </w:pPr>
      <w:rPr>
        <w:b/>
        <w:bCs/>
      </w:rPr>
      <w:tblPr/>
      <w:tcPr>
        <w:tcBorders>
          <w:top w:val="single" w:sz="8" w:space="0" w:color="FFC000" w:themeColor="accent5"/>
          <w:left w:val="nil"/>
          <w:bottom w:val="single" w:sz="8" w:space="0" w:color="FFC0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5" w:themeFillTint="3F"/>
      </w:tcPr>
    </w:tblStylePr>
    <w:tblStylePr w:type="band1Horz">
      <w:tblPr/>
      <w:tcPr>
        <w:tcBorders>
          <w:left w:val="nil"/>
          <w:right w:val="nil"/>
          <w:insideH w:val="nil"/>
          <w:insideV w:val="nil"/>
        </w:tcBorders>
        <w:shd w:val="clear" w:color="auto" w:fill="FFEFC0"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DF2E2F" w:themeColor="accent1"/>
        <w:left w:val="single" w:sz="8" w:space="0" w:color="DF2E2F" w:themeColor="accent1"/>
        <w:bottom w:val="single" w:sz="8" w:space="0" w:color="DF2E2F" w:themeColor="accent1"/>
        <w:right w:val="single" w:sz="8" w:space="0" w:color="DF2E2F"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F2E2F" w:themeFill="accent1"/>
      </w:tcPr>
    </w:tblStylePr>
    <w:tblStylePr w:type="lastRow">
      <w:pPr>
        <w:spacing w:before="0" w:after="0" w:line="240" w:lineRule="auto"/>
      </w:pPr>
      <w:rPr>
        <w:b/>
        <w:bCs/>
      </w:rPr>
      <w:tblPr/>
      <w:tcPr>
        <w:tcBorders>
          <w:top w:val="double" w:sz="6" w:space="0" w:color="DF2E2F" w:themeColor="accent1"/>
          <w:left w:val="single" w:sz="8" w:space="0" w:color="DF2E2F" w:themeColor="accent1"/>
          <w:bottom w:val="single" w:sz="8" w:space="0" w:color="DF2E2F" w:themeColor="accent1"/>
          <w:right w:val="single" w:sz="8" w:space="0" w:color="DF2E2F" w:themeColor="accent1"/>
        </w:tcBorders>
      </w:tcPr>
    </w:tblStylePr>
    <w:tblStylePr w:type="firstCol">
      <w:rPr>
        <w:b/>
        <w:bCs/>
      </w:rPr>
    </w:tblStylePr>
    <w:tblStylePr w:type="lastCol">
      <w:rPr>
        <w:b/>
        <w:bCs/>
      </w:rPr>
    </w:tblStylePr>
    <w:tblStylePr w:type="band1Vert">
      <w:tblPr/>
      <w:tcPr>
        <w:tcBorders>
          <w:top w:val="single" w:sz="8" w:space="0" w:color="DF2E2F" w:themeColor="accent1"/>
          <w:left w:val="single" w:sz="8" w:space="0" w:color="DF2E2F" w:themeColor="accent1"/>
          <w:bottom w:val="single" w:sz="8" w:space="0" w:color="DF2E2F" w:themeColor="accent1"/>
          <w:right w:val="single" w:sz="8" w:space="0" w:color="DF2E2F" w:themeColor="accent1"/>
        </w:tcBorders>
      </w:tcPr>
    </w:tblStylePr>
    <w:tblStylePr w:type="band1Horz">
      <w:tblPr/>
      <w:tcPr>
        <w:tcBorders>
          <w:top w:val="single" w:sz="8" w:space="0" w:color="DF2E2F" w:themeColor="accent1"/>
          <w:left w:val="single" w:sz="8" w:space="0" w:color="DF2E2F" w:themeColor="accent1"/>
          <w:bottom w:val="single" w:sz="8" w:space="0" w:color="DF2E2F" w:themeColor="accent1"/>
          <w:right w:val="single" w:sz="8" w:space="0" w:color="DF2E2F"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FF3300" w:themeColor="accent2"/>
        <w:left w:val="single" w:sz="8" w:space="0" w:color="FF3300" w:themeColor="accent2"/>
        <w:bottom w:val="single" w:sz="8" w:space="0" w:color="FF3300" w:themeColor="accent2"/>
        <w:right w:val="single" w:sz="8" w:space="0" w:color="FF3300"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3300" w:themeFill="accent2"/>
      </w:tcPr>
    </w:tblStylePr>
    <w:tblStylePr w:type="lastRow">
      <w:pPr>
        <w:spacing w:before="0" w:after="0" w:line="240" w:lineRule="auto"/>
      </w:pPr>
      <w:rPr>
        <w:b/>
        <w:bCs/>
      </w:rPr>
      <w:tblPr/>
      <w:tcPr>
        <w:tcBorders>
          <w:top w:val="double" w:sz="6" w:space="0" w:color="FF3300" w:themeColor="accent2"/>
          <w:left w:val="single" w:sz="8" w:space="0" w:color="FF3300" w:themeColor="accent2"/>
          <w:bottom w:val="single" w:sz="8" w:space="0" w:color="FF3300" w:themeColor="accent2"/>
          <w:right w:val="single" w:sz="8" w:space="0" w:color="FF3300" w:themeColor="accent2"/>
        </w:tcBorders>
      </w:tcPr>
    </w:tblStylePr>
    <w:tblStylePr w:type="firstCol">
      <w:rPr>
        <w:b/>
        <w:bCs/>
      </w:rPr>
    </w:tblStylePr>
    <w:tblStylePr w:type="lastCol">
      <w:rPr>
        <w:b/>
        <w:bCs/>
      </w:rPr>
    </w:tblStylePr>
    <w:tblStylePr w:type="band1Vert">
      <w:tblPr/>
      <w:tcPr>
        <w:tcBorders>
          <w:top w:val="single" w:sz="8" w:space="0" w:color="FF3300" w:themeColor="accent2"/>
          <w:left w:val="single" w:sz="8" w:space="0" w:color="FF3300" w:themeColor="accent2"/>
          <w:bottom w:val="single" w:sz="8" w:space="0" w:color="FF3300" w:themeColor="accent2"/>
          <w:right w:val="single" w:sz="8" w:space="0" w:color="FF3300" w:themeColor="accent2"/>
        </w:tcBorders>
      </w:tcPr>
    </w:tblStylePr>
    <w:tblStylePr w:type="band1Horz">
      <w:tblPr/>
      <w:tcPr>
        <w:tcBorders>
          <w:top w:val="single" w:sz="8" w:space="0" w:color="FF3300" w:themeColor="accent2"/>
          <w:left w:val="single" w:sz="8" w:space="0" w:color="FF3300" w:themeColor="accent2"/>
          <w:bottom w:val="single" w:sz="8" w:space="0" w:color="FF3300" w:themeColor="accent2"/>
          <w:right w:val="single" w:sz="8" w:space="0" w:color="FF3300"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0B9B74" w:themeColor="accent3"/>
        <w:left w:val="single" w:sz="8" w:space="0" w:color="0B9B74" w:themeColor="accent3"/>
        <w:bottom w:val="single" w:sz="8" w:space="0" w:color="0B9B74" w:themeColor="accent3"/>
        <w:right w:val="single" w:sz="8" w:space="0" w:color="0B9B74"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B9B74" w:themeFill="accent3"/>
      </w:tcPr>
    </w:tblStylePr>
    <w:tblStylePr w:type="lastRow">
      <w:pPr>
        <w:spacing w:before="0" w:after="0" w:line="240" w:lineRule="auto"/>
      </w:pPr>
      <w:rPr>
        <w:b/>
        <w:bCs/>
      </w:rPr>
      <w:tblPr/>
      <w:tcPr>
        <w:tcBorders>
          <w:top w:val="double" w:sz="6" w:space="0" w:color="0B9B74" w:themeColor="accent3"/>
          <w:left w:val="single" w:sz="8" w:space="0" w:color="0B9B74" w:themeColor="accent3"/>
          <w:bottom w:val="single" w:sz="8" w:space="0" w:color="0B9B74" w:themeColor="accent3"/>
          <w:right w:val="single" w:sz="8" w:space="0" w:color="0B9B74" w:themeColor="accent3"/>
        </w:tcBorders>
      </w:tcPr>
    </w:tblStylePr>
    <w:tblStylePr w:type="firstCol">
      <w:rPr>
        <w:b/>
        <w:bCs/>
      </w:rPr>
    </w:tblStylePr>
    <w:tblStylePr w:type="lastCol">
      <w:rPr>
        <w:b/>
        <w:bCs/>
      </w:rPr>
    </w:tblStylePr>
    <w:tblStylePr w:type="band1Vert">
      <w:tblPr/>
      <w:tcPr>
        <w:tcBorders>
          <w:top w:val="single" w:sz="8" w:space="0" w:color="0B9B74" w:themeColor="accent3"/>
          <w:left w:val="single" w:sz="8" w:space="0" w:color="0B9B74" w:themeColor="accent3"/>
          <w:bottom w:val="single" w:sz="8" w:space="0" w:color="0B9B74" w:themeColor="accent3"/>
          <w:right w:val="single" w:sz="8" w:space="0" w:color="0B9B74" w:themeColor="accent3"/>
        </w:tcBorders>
      </w:tcPr>
    </w:tblStylePr>
    <w:tblStylePr w:type="band1Horz">
      <w:tblPr/>
      <w:tcPr>
        <w:tcBorders>
          <w:top w:val="single" w:sz="8" w:space="0" w:color="0B9B74" w:themeColor="accent3"/>
          <w:left w:val="single" w:sz="8" w:space="0" w:color="0B9B74" w:themeColor="accent3"/>
          <w:bottom w:val="single" w:sz="8" w:space="0" w:color="0B9B74" w:themeColor="accent3"/>
          <w:right w:val="single" w:sz="8" w:space="0" w:color="0B9B74"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10CF9B" w:themeColor="accent4"/>
        <w:left w:val="single" w:sz="8" w:space="0" w:color="10CF9B" w:themeColor="accent4"/>
        <w:bottom w:val="single" w:sz="8" w:space="0" w:color="10CF9B" w:themeColor="accent4"/>
        <w:right w:val="single" w:sz="8" w:space="0" w:color="10CF9B"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0CF9B" w:themeFill="accent4"/>
      </w:tcPr>
    </w:tblStylePr>
    <w:tblStylePr w:type="lastRow">
      <w:pPr>
        <w:spacing w:before="0" w:after="0" w:line="240" w:lineRule="auto"/>
      </w:pPr>
      <w:rPr>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tcBorders>
      </w:tcPr>
    </w:tblStylePr>
    <w:tblStylePr w:type="firstCol">
      <w:rPr>
        <w:b/>
        <w:bCs/>
      </w:rPr>
    </w:tblStylePr>
    <w:tblStylePr w:type="lastCol">
      <w:rPr>
        <w:b/>
        <w:bCs/>
      </w:r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FFC000" w:themeColor="accent5"/>
        <w:left w:val="single" w:sz="8" w:space="0" w:color="FFC000" w:themeColor="accent5"/>
        <w:bottom w:val="single" w:sz="8" w:space="0" w:color="FFC000" w:themeColor="accent5"/>
        <w:right w:val="single" w:sz="8" w:space="0" w:color="FFC0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5"/>
      </w:tcPr>
    </w:tblStylePr>
    <w:tblStylePr w:type="lastRow">
      <w:pPr>
        <w:spacing w:before="0" w:after="0" w:line="240" w:lineRule="auto"/>
      </w:pPr>
      <w:rPr>
        <w:b/>
        <w:bCs/>
      </w:rPr>
      <w:tblPr/>
      <w:tcPr>
        <w:tcBorders>
          <w:top w:val="double" w:sz="6" w:space="0" w:color="FFC000" w:themeColor="accent5"/>
          <w:left w:val="single" w:sz="8" w:space="0" w:color="FFC000" w:themeColor="accent5"/>
          <w:bottom w:val="single" w:sz="8" w:space="0" w:color="FFC000" w:themeColor="accent5"/>
          <w:right w:val="single" w:sz="8" w:space="0" w:color="FFC000" w:themeColor="accent5"/>
        </w:tcBorders>
      </w:tcPr>
    </w:tblStylePr>
    <w:tblStylePr w:type="firstCol">
      <w:rPr>
        <w:b/>
        <w:bCs/>
      </w:rPr>
    </w:tblStylePr>
    <w:tblStylePr w:type="lastCol">
      <w:rPr>
        <w:b/>
        <w:bCs/>
      </w:rPr>
    </w:tblStylePr>
    <w:tblStylePr w:type="band1Vert">
      <w:tblPr/>
      <w:tcPr>
        <w:tcBorders>
          <w:top w:val="single" w:sz="8" w:space="0" w:color="FFC000" w:themeColor="accent5"/>
          <w:left w:val="single" w:sz="8" w:space="0" w:color="FFC000" w:themeColor="accent5"/>
          <w:bottom w:val="single" w:sz="8" w:space="0" w:color="FFC000" w:themeColor="accent5"/>
          <w:right w:val="single" w:sz="8" w:space="0" w:color="FFC000" w:themeColor="accent5"/>
        </w:tcBorders>
      </w:tcPr>
    </w:tblStylePr>
    <w:tblStylePr w:type="band1Horz">
      <w:tblPr/>
      <w:tcPr>
        <w:tcBorders>
          <w:top w:val="single" w:sz="8" w:space="0" w:color="FFC000" w:themeColor="accent5"/>
          <w:left w:val="single" w:sz="8" w:space="0" w:color="FFC000" w:themeColor="accent5"/>
          <w:bottom w:val="single" w:sz="8" w:space="0" w:color="FFC000" w:themeColor="accent5"/>
          <w:right w:val="single" w:sz="8" w:space="0" w:color="FFC000"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AB73D5" w:themeColor="accent6"/>
        <w:left w:val="single" w:sz="8" w:space="0" w:color="AB73D5" w:themeColor="accent6"/>
        <w:bottom w:val="single" w:sz="8" w:space="0" w:color="AB73D5" w:themeColor="accent6"/>
        <w:right w:val="single" w:sz="8" w:space="0" w:color="AB73D5"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B73D5" w:themeFill="accent6"/>
      </w:tcPr>
    </w:tblStylePr>
    <w:tblStylePr w:type="lastRow">
      <w:pPr>
        <w:spacing w:before="0" w:after="0" w:line="240" w:lineRule="auto"/>
      </w:pPr>
      <w:rPr>
        <w:b/>
        <w:bCs/>
      </w:rPr>
      <w:tblPr/>
      <w:tcPr>
        <w:tcBorders>
          <w:top w:val="double" w:sz="6" w:space="0" w:color="AB73D5" w:themeColor="accent6"/>
          <w:left w:val="single" w:sz="8" w:space="0" w:color="AB73D5" w:themeColor="accent6"/>
          <w:bottom w:val="single" w:sz="8" w:space="0" w:color="AB73D5" w:themeColor="accent6"/>
          <w:right w:val="single" w:sz="8" w:space="0" w:color="AB73D5" w:themeColor="accent6"/>
        </w:tcBorders>
      </w:tcPr>
    </w:tblStylePr>
    <w:tblStylePr w:type="firstCol">
      <w:rPr>
        <w:b/>
        <w:bCs/>
      </w:rPr>
    </w:tblStylePr>
    <w:tblStylePr w:type="lastCol">
      <w:rPr>
        <w:b/>
        <w:bCs/>
      </w:rPr>
    </w:tblStylePr>
    <w:tblStylePr w:type="band1Vert">
      <w:tblPr/>
      <w:tcPr>
        <w:tcBorders>
          <w:top w:val="single" w:sz="8" w:space="0" w:color="AB73D5" w:themeColor="accent6"/>
          <w:left w:val="single" w:sz="8" w:space="0" w:color="AB73D5" w:themeColor="accent6"/>
          <w:bottom w:val="single" w:sz="8" w:space="0" w:color="AB73D5" w:themeColor="accent6"/>
          <w:right w:val="single" w:sz="8" w:space="0" w:color="AB73D5" w:themeColor="accent6"/>
        </w:tcBorders>
      </w:tcPr>
    </w:tblStylePr>
    <w:tblStylePr w:type="band1Horz">
      <w:tblPr/>
      <w:tcPr>
        <w:tcBorders>
          <w:top w:val="single" w:sz="8" w:space="0" w:color="AB73D5" w:themeColor="accent6"/>
          <w:left w:val="single" w:sz="8" w:space="0" w:color="AB73D5" w:themeColor="accent6"/>
          <w:bottom w:val="single" w:sz="8" w:space="0" w:color="AB73D5" w:themeColor="accent6"/>
          <w:right w:val="single" w:sz="8" w:space="0" w:color="AB73D5"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DF2E2F" w:themeColor="accent1"/>
        <w:left w:val="single" w:sz="8" w:space="0" w:color="DF2E2F" w:themeColor="accent1"/>
        <w:bottom w:val="single" w:sz="8" w:space="0" w:color="DF2E2F" w:themeColor="accent1"/>
        <w:right w:val="single" w:sz="8" w:space="0" w:color="DF2E2F" w:themeColor="accent1"/>
        <w:insideH w:val="single" w:sz="8" w:space="0" w:color="DF2E2F" w:themeColor="accent1"/>
        <w:insideV w:val="single" w:sz="8" w:space="0" w:color="DF2E2F"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F2E2F" w:themeColor="accent1"/>
          <w:left w:val="single" w:sz="8" w:space="0" w:color="DF2E2F" w:themeColor="accent1"/>
          <w:bottom w:val="single" w:sz="18" w:space="0" w:color="DF2E2F" w:themeColor="accent1"/>
          <w:right w:val="single" w:sz="8" w:space="0" w:color="DF2E2F" w:themeColor="accent1"/>
          <w:insideH w:val="nil"/>
          <w:insideV w:val="single" w:sz="8" w:space="0" w:color="DF2E2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2E2F" w:themeColor="accent1"/>
          <w:left w:val="single" w:sz="8" w:space="0" w:color="DF2E2F" w:themeColor="accent1"/>
          <w:bottom w:val="single" w:sz="8" w:space="0" w:color="DF2E2F" w:themeColor="accent1"/>
          <w:right w:val="single" w:sz="8" w:space="0" w:color="DF2E2F" w:themeColor="accent1"/>
          <w:insideH w:val="nil"/>
          <w:insideV w:val="single" w:sz="8" w:space="0" w:color="DF2E2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2E2F" w:themeColor="accent1"/>
          <w:left w:val="single" w:sz="8" w:space="0" w:color="DF2E2F" w:themeColor="accent1"/>
          <w:bottom w:val="single" w:sz="8" w:space="0" w:color="DF2E2F" w:themeColor="accent1"/>
          <w:right w:val="single" w:sz="8" w:space="0" w:color="DF2E2F" w:themeColor="accent1"/>
        </w:tcBorders>
      </w:tcPr>
    </w:tblStylePr>
    <w:tblStylePr w:type="band1Vert">
      <w:tblPr/>
      <w:tcPr>
        <w:tcBorders>
          <w:top w:val="single" w:sz="8" w:space="0" w:color="DF2E2F" w:themeColor="accent1"/>
          <w:left w:val="single" w:sz="8" w:space="0" w:color="DF2E2F" w:themeColor="accent1"/>
          <w:bottom w:val="single" w:sz="8" w:space="0" w:color="DF2E2F" w:themeColor="accent1"/>
          <w:right w:val="single" w:sz="8" w:space="0" w:color="DF2E2F" w:themeColor="accent1"/>
        </w:tcBorders>
        <w:shd w:val="clear" w:color="auto" w:fill="F7CBCB" w:themeFill="accent1" w:themeFillTint="3F"/>
      </w:tcPr>
    </w:tblStylePr>
    <w:tblStylePr w:type="band1Horz">
      <w:tblPr/>
      <w:tcPr>
        <w:tcBorders>
          <w:top w:val="single" w:sz="8" w:space="0" w:color="DF2E2F" w:themeColor="accent1"/>
          <w:left w:val="single" w:sz="8" w:space="0" w:color="DF2E2F" w:themeColor="accent1"/>
          <w:bottom w:val="single" w:sz="8" w:space="0" w:color="DF2E2F" w:themeColor="accent1"/>
          <w:right w:val="single" w:sz="8" w:space="0" w:color="DF2E2F" w:themeColor="accent1"/>
          <w:insideV w:val="single" w:sz="8" w:space="0" w:color="DF2E2F" w:themeColor="accent1"/>
        </w:tcBorders>
        <w:shd w:val="clear" w:color="auto" w:fill="F7CBCB" w:themeFill="accent1" w:themeFillTint="3F"/>
      </w:tcPr>
    </w:tblStylePr>
    <w:tblStylePr w:type="band2Horz">
      <w:tblPr/>
      <w:tcPr>
        <w:tcBorders>
          <w:top w:val="single" w:sz="8" w:space="0" w:color="DF2E2F" w:themeColor="accent1"/>
          <w:left w:val="single" w:sz="8" w:space="0" w:color="DF2E2F" w:themeColor="accent1"/>
          <w:bottom w:val="single" w:sz="8" w:space="0" w:color="DF2E2F" w:themeColor="accent1"/>
          <w:right w:val="single" w:sz="8" w:space="0" w:color="DF2E2F" w:themeColor="accent1"/>
          <w:insideV w:val="single" w:sz="8" w:space="0" w:color="DF2E2F"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FF3300" w:themeColor="accent2"/>
        <w:left w:val="single" w:sz="8" w:space="0" w:color="FF3300" w:themeColor="accent2"/>
        <w:bottom w:val="single" w:sz="8" w:space="0" w:color="FF3300" w:themeColor="accent2"/>
        <w:right w:val="single" w:sz="8" w:space="0" w:color="FF3300" w:themeColor="accent2"/>
        <w:insideH w:val="single" w:sz="8" w:space="0" w:color="FF3300" w:themeColor="accent2"/>
        <w:insideV w:val="single" w:sz="8" w:space="0" w:color="FF33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3300" w:themeColor="accent2"/>
          <w:left w:val="single" w:sz="8" w:space="0" w:color="FF3300" w:themeColor="accent2"/>
          <w:bottom w:val="single" w:sz="18" w:space="0" w:color="FF3300" w:themeColor="accent2"/>
          <w:right w:val="single" w:sz="8" w:space="0" w:color="FF3300" w:themeColor="accent2"/>
          <w:insideH w:val="nil"/>
          <w:insideV w:val="single" w:sz="8" w:space="0" w:color="FF3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3300" w:themeColor="accent2"/>
          <w:left w:val="single" w:sz="8" w:space="0" w:color="FF3300" w:themeColor="accent2"/>
          <w:bottom w:val="single" w:sz="8" w:space="0" w:color="FF3300" w:themeColor="accent2"/>
          <w:right w:val="single" w:sz="8" w:space="0" w:color="FF3300" w:themeColor="accent2"/>
          <w:insideH w:val="nil"/>
          <w:insideV w:val="single" w:sz="8" w:space="0" w:color="FF3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3300" w:themeColor="accent2"/>
          <w:left w:val="single" w:sz="8" w:space="0" w:color="FF3300" w:themeColor="accent2"/>
          <w:bottom w:val="single" w:sz="8" w:space="0" w:color="FF3300" w:themeColor="accent2"/>
          <w:right w:val="single" w:sz="8" w:space="0" w:color="FF3300" w:themeColor="accent2"/>
        </w:tcBorders>
      </w:tcPr>
    </w:tblStylePr>
    <w:tblStylePr w:type="band1Vert">
      <w:tblPr/>
      <w:tcPr>
        <w:tcBorders>
          <w:top w:val="single" w:sz="8" w:space="0" w:color="FF3300" w:themeColor="accent2"/>
          <w:left w:val="single" w:sz="8" w:space="0" w:color="FF3300" w:themeColor="accent2"/>
          <w:bottom w:val="single" w:sz="8" w:space="0" w:color="FF3300" w:themeColor="accent2"/>
          <w:right w:val="single" w:sz="8" w:space="0" w:color="FF3300" w:themeColor="accent2"/>
        </w:tcBorders>
        <w:shd w:val="clear" w:color="auto" w:fill="FFCCC0" w:themeFill="accent2" w:themeFillTint="3F"/>
      </w:tcPr>
    </w:tblStylePr>
    <w:tblStylePr w:type="band1Horz">
      <w:tblPr/>
      <w:tcPr>
        <w:tcBorders>
          <w:top w:val="single" w:sz="8" w:space="0" w:color="FF3300" w:themeColor="accent2"/>
          <w:left w:val="single" w:sz="8" w:space="0" w:color="FF3300" w:themeColor="accent2"/>
          <w:bottom w:val="single" w:sz="8" w:space="0" w:color="FF3300" w:themeColor="accent2"/>
          <w:right w:val="single" w:sz="8" w:space="0" w:color="FF3300" w:themeColor="accent2"/>
          <w:insideV w:val="single" w:sz="8" w:space="0" w:color="FF3300" w:themeColor="accent2"/>
        </w:tcBorders>
        <w:shd w:val="clear" w:color="auto" w:fill="FFCCC0" w:themeFill="accent2" w:themeFillTint="3F"/>
      </w:tcPr>
    </w:tblStylePr>
    <w:tblStylePr w:type="band2Horz">
      <w:tblPr/>
      <w:tcPr>
        <w:tcBorders>
          <w:top w:val="single" w:sz="8" w:space="0" w:color="FF3300" w:themeColor="accent2"/>
          <w:left w:val="single" w:sz="8" w:space="0" w:color="FF3300" w:themeColor="accent2"/>
          <w:bottom w:val="single" w:sz="8" w:space="0" w:color="FF3300" w:themeColor="accent2"/>
          <w:right w:val="single" w:sz="8" w:space="0" w:color="FF3300" w:themeColor="accent2"/>
          <w:insideV w:val="single" w:sz="8" w:space="0" w:color="FF3300"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0B9B74" w:themeColor="accent3"/>
        <w:left w:val="single" w:sz="8" w:space="0" w:color="0B9B74" w:themeColor="accent3"/>
        <w:bottom w:val="single" w:sz="8" w:space="0" w:color="0B9B74" w:themeColor="accent3"/>
        <w:right w:val="single" w:sz="8" w:space="0" w:color="0B9B74" w:themeColor="accent3"/>
        <w:insideH w:val="single" w:sz="8" w:space="0" w:color="0B9B74" w:themeColor="accent3"/>
        <w:insideV w:val="single" w:sz="8" w:space="0" w:color="0B9B74"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B9B74" w:themeColor="accent3"/>
          <w:left w:val="single" w:sz="8" w:space="0" w:color="0B9B74" w:themeColor="accent3"/>
          <w:bottom w:val="single" w:sz="18" w:space="0" w:color="0B9B74" w:themeColor="accent3"/>
          <w:right w:val="single" w:sz="8" w:space="0" w:color="0B9B74" w:themeColor="accent3"/>
          <w:insideH w:val="nil"/>
          <w:insideV w:val="single" w:sz="8" w:space="0" w:color="0B9B7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9B74" w:themeColor="accent3"/>
          <w:left w:val="single" w:sz="8" w:space="0" w:color="0B9B74" w:themeColor="accent3"/>
          <w:bottom w:val="single" w:sz="8" w:space="0" w:color="0B9B74" w:themeColor="accent3"/>
          <w:right w:val="single" w:sz="8" w:space="0" w:color="0B9B74" w:themeColor="accent3"/>
          <w:insideH w:val="nil"/>
          <w:insideV w:val="single" w:sz="8" w:space="0" w:color="0B9B7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9B74" w:themeColor="accent3"/>
          <w:left w:val="single" w:sz="8" w:space="0" w:color="0B9B74" w:themeColor="accent3"/>
          <w:bottom w:val="single" w:sz="8" w:space="0" w:color="0B9B74" w:themeColor="accent3"/>
          <w:right w:val="single" w:sz="8" w:space="0" w:color="0B9B74" w:themeColor="accent3"/>
        </w:tcBorders>
      </w:tcPr>
    </w:tblStylePr>
    <w:tblStylePr w:type="band1Vert">
      <w:tblPr/>
      <w:tcPr>
        <w:tcBorders>
          <w:top w:val="single" w:sz="8" w:space="0" w:color="0B9B74" w:themeColor="accent3"/>
          <w:left w:val="single" w:sz="8" w:space="0" w:color="0B9B74" w:themeColor="accent3"/>
          <w:bottom w:val="single" w:sz="8" w:space="0" w:color="0B9B74" w:themeColor="accent3"/>
          <w:right w:val="single" w:sz="8" w:space="0" w:color="0B9B74" w:themeColor="accent3"/>
        </w:tcBorders>
        <w:shd w:val="clear" w:color="auto" w:fill="AFF9E5" w:themeFill="accent3" w:themeFillTint="3F"/>
      </w:tcPr>
    </w:tblStylePr>
    <w:tblStylePr w:type="band1Horz">
      <w:tblPr/>
      <w:tcPr>
        <w:tcBorders>
          <w:top w:val="single" w:sz="8" w:space="0" w:color="0B9B74" w:themeColor="accent3"/>
          <w:left w:val="single" w:sz="8" w:space="0" w:color="0B9B74" w:themeColor="accent3"/>
          <w:bottom w:val="single" w:sz="8" w:space="0" w:color="0B9B74" w:themeColor="accent3"/>
          <w:right w:val="single" w:sz="8" w:space="0" w:color="0B9B74" w:themeColor="accent3"/>
          <w:insideV w:val="single" w:sz="8" w:space="0" w:color="0B9B74" w:themeColor="accent3"/>
        </w:tcBorders>
        <w:shd w:val="clear" w:color="auto" w:fill="AFF9E5" w:themeFill="accent3" w:themeFillTint="3F"/>
      </w:tcPr>
    </w:tblStylePr>
    <w:tblStylePr w:type="band2Horz">
      <w:tblPr/>
      <w:tcPr>
        <w:tcBorders>
          <w:top w:val="single" w:sz="8" w:space="0" w:color="0B9B74" w:themeColor="accent3"/>
          <w:left w:val="single" w:sz="8" w:space="0" w:color="0B9B74" w:themeColor="accent3"/>
          <w:bottom w:val="single" w:sz="8" w:space="0" w:color="0B9B74" w:themeColor="accent3"/>
          <w:right w:val="single" w:sz="8" w:space="0" w:color="0B9B74" w:themeColor="accent3"/>
          <w:insideV w:val="single" w:sz="8" w:space="0" w:color="0B9B74"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18" w:space="0" w:color="10CF9B" w:themeColor="accent4"/>
          <w:right w:val="single" w:sz="8" w:space="0" w:color="10CF9B" w:themeColor="accent4"/>
          <w:insideH w:val="nil"/>
          <w:insideV w:val="single" w:sz="8" w:space="0" w:color="10CF9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CF9B" w:themeColor="accent4"/>
          <w:left w:val="single" w:sz="8" w:space="0" w:color="10CF9B" w:themeColor="accent4"/>
          <w:bottom w:val="single" w:sz="8" w:space="0" w:color="10CF9B" w:themeColor="accent4"/>
          <w:right w:val="single" w:sz="8" w:space="0" w:color="10CF9B" w:themeColor="accent4"/>
          <w:insideH w:val="nil"/>
          <w:insideV w:val="single" w:sz="8" w:space="0" w:color="10CF9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tcPr>
    </w:tblStylePr>
    <w:tblStylePr w:type="band1Vert">
      <w:tblPr/>
      <w:tcPr>
        <w:tcBorders>
          <w:top w:val="single" w:sz="8" w:space="0" w:color="10CF9B" w:themeColor="accent4"/>
          <w:left w:val="single" w:sz="8" w:space="0" w:color="10CF9B" w:themeColor="accent4"/>
          <w:bottom w:val="single" w:sz="8" w:space="0" w:color="10CF9B" w:themeColor="accent4"/>
          <w:right w:val="single" w:sz="8" w:space="0" w:color="10CF9B" w:themeColor="accent4"/>
        </w:tcBorders>
        <w:shd w:val="clear" w:color="auto" w:fill="BDFAE9" w:themeFill="accent4" w:themeFillTint="3F"/>
      </w:tcPr>
    </w:tblStylePr>
    <w:tblStylePr w:type="band1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shd w:val="clear" w:color="auto" w:fill="BDFAE9" w:themeFill="accent4" w:themeFillTint="3F"/>
      </w:tcPr>
    </w:tblStylePr>
    <w:tblStylePr w:type="band2Horz">
      <w:tblPr/>
      <w:tcPr>
        <w:tcBorders>
          <w:top w:val="single" w:sz="8" w:space="0" w:color="10CF9B" w:themeColor="accent4"/>
          <w:left w:val="single" w:sz="8" w:space="0" w:color="10CF9B" w:themeColor="accent4"/>
          <w:bottom w:val="single" w:sz="8" w:space="0" w:color="10CF9B" w:themeColor="accent4"/>
          <w:right w:val="single" w:sz="8" w:space="0" w:color="10CF9B" w:themeColor="accent4"/>
          <w:insideV w:val="single" w:sz="8" w:space="0" w:color="10CF9B"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FFC000" w:themeColor="accent5"/>
        <w:left w:val="single" w:sz="8" w:space="0" w:color="FFC000" w:themeColor="accent5"/>
        <w:bottom w:val="single" w:sz="8" w:space="0" w:color="FFC000" w:themeColor="accent5"/>
        <w:right w:val="single" w:sz="8" w:space="0" w:color="FFC000" w:themeColor="accent5"/>
        <w:insideH w:val="single" w:sz="8" w:space="0" w:color="FFC000" w:themeColor="accent5"/>
        <w:insideV w:val="single" w:sz="8" w:space="0" w:color="FFC0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5"/>
          <w:left w:val="single" w:sz="8" w:space="0" w:color="FFC000" w:themeColor="accent5"/>
          <w:bottom w:val="single" w:sz="18" w:space="0" w:color="FFC000" w:themeColor="accent5"/>
          <w:right w:val="single" w:sz="8" w:space="0" w:color="FFC000" w:themeColor="accent5"/>
          <w:insideH w:val="nil"/>
          <w:insideV w:val="single" w:sz="8" w:space="0" w:color="FFC0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5"/>
          <w:left w:val="single" w:sz="8" w:space="0" w:color="FFC000" w:themeColor="accent5"/>
          <w:bottom w:val="single" w:sz="8" w:space="0" w:color="FFC000" w:themeColor="accent5"/>
          <w:right w:val="single" w:sz="8" w:space="0" w:color="FFC000" w:themeColor="accent5"/>
          <w:insideH w:val="nil"/>
          <w:insideV w:val="single" w:sz="8" w:space="0" w:color="FFC0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5"/>
          <w:left w:val="single" w:sz="8" w:space="0" w:color="FFC000" w:themeColor="accent5"/>
          <w:bottom w:val="single" w:sz="8" w:space="0" w:color="FFC000" w:themeColor="accent5"/>
          <w:right w:val="single" w:sz="8" w:space="0" w:color="FFC000" w:themeColor="accent5"/>
        </w:tcBorders>
      </w:tcPr>
    </w:tblStylePr>
    <w:tblStylePr w:type="band1Vert">
      <w:tblPr/>
      <w:tcPr>
        <w:tcBorders>
          <w:top w:val="single" w:sz="8" w:space="0" w:color="FFC000" w:themeColor="accent5"/>
          <w:left w:val="single" w:sz="8" w:space="0" w:color="FFC000" w:themeColor="accent5"/>
          <w:bottom w:val="single" w:sz="8" w:space="0" w:color="FFC000" w:themeColor="accent5"/>
          <w:right w:val="single" w:sz="8" w:space="0" w:color="FFC000" w:themeColor="accent5"/>
        </w:tcBorders>
        <w:shd w:val="clear" w:color="auto" w:fill="FFEFC0" w:themeFill="accent5" w:themeFillTint="3F"/>
      </w:tcPr>
    </w:tblStylePr>
    <w:tblStylePr w:type="band1Horz">
      <w:tblPr/>
      <w:tcPr>
        <w:tcBorders>
          <w:top w:val="single" w:sz="8" w:space="0" w:color="FFC000" w:themeColor="accent5"/>
          <w:left w:val="single" w:sz="8" w:space="0" w:color="FFC000" w:themeColor="accent5"/>
          <w:bottom w:val="single" w:sz="8" w:space="0" w:color="FFC000" w:themeColor="accent5"/>
          <w:right w:val="single" w:sz="8" w:space="0" w:color="FFC000" w:themeColor="accent5"/>
          <w:insideV w:val="single" w:sz="8" w:space="0" w:color="FFC000" w:themeColor="accent5"/>
        </w:tcBorders>
        <w:shd w:val="clear" w:color="auto" w:fill="FFEFC0" w:themeFill="accent5" w:themeFillTint="3F"/>
      </w:tcPr>
    </w:tblStylePr>
    <w:tblStylePr w:type="band2Horz">
      <w:tblPr/>
      <w:tcPr>
        <w:tcBorders>
          <w:top w:val="single" w:sz="8" w:space="0" w:color="FFC000" w:themeColor="accent5"/>
          <w:left w:val="single" w:sz="8" w:space="0" w:color="FFC000" w:themeColor="accent5"/>
          <w:bottom w:val="single" w:sz="8" w:space="0" w:color="FFC000" w:themeColor="accent5"/>
          <w:right w:val="single" w:sz="8" w:space="0" w:color="FFC000" w:themeColor="accent5"/>
          <w:insideV w:val="single" w:sz="8" w:space="0" w:color="FFC000"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AB73D5" w:themeColor="accent6"/>
        <w:left w:val="single" w:sz="8" w:space="0" w:color="AB73D5" w:themeColor="accent6"/>
        <w:bottom w:val="single" w:sz="8" w:space="0" w:color="AB73D5" w:themeColor="accent6"/>
        <w:right w:val="single" w:sz="8" w:space="0" w:color="AB73D5" w:themeColor="accent6"/>
        <w:insideH w:val="single" w:sz="8" w:space="0" w:color="AB73D5" w:themeColor="accent6"/>
        <w:insideV w:val="single" w:sz="8" w:space="0" w:color="AB73D5"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B73D5" w:themeColor="accent6"/>
          <w:left w:val="single" w:sz="8" w:space="0" w:color="AB73D5" w:themeColor="accent6"/>
          <w:bottom w:val="single" w:sz="18" w:space="0" w:color="AB73D5" w:themeColor="accent6"/>
          <w:right w:val="single" w:sz="8" w:space="0" w:color="AB73D5" w:themeColor="accent6"/>
          <w:insideH w:val="nil"/>
          <w:insideV w:val="single" w:sz="8" w:space="0" w:color="AB73D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73D5" w:themeColor="accent6"/>
          <w:left w:val="single" w:sz="8" w:space="0" w:color="AB73D5" w:themeColor="accent6"/>
          <w:bottom w:val="single" w:sz="8" w:space="0" w:color="AB73D5" w:themeColor="accent6"/>
          <w:right w:val="single" w:sz="8" w:space="0" w:color="AB73D5" w:themeColor="accent6"/>
          <w:insideH w:val="nil"/>
          <w:insideV w:val="single" w:sz="8" w:space="0" w:color="AB73D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73D5" w:themeColor="accent6"/>
          <w:left w:val="single" w:sz="8" w:space="0" w:color="AB73D5" w:themeColor="accent6"/>
          <w:bottom w:val="single" w:sz="8" w:space="0" w:color="AB73D5" w:themeColor="accent6"/>
          <w:right w:val="single" w:sz="8" w:space="0" w:color="AB73D5" w:themeColor="accent6"/>
        </w:tcBorders>
      </w:tcPr>
    </w:tblStylePr>
    <w:tblStylePr w:type="band1Vert">
      <w:tblPr/>
      <w:tcPr>
        <w:tcBorders>
          <w:top w:val="single" w:sz="8" w:space="0" w:color="AB73D5" w:themeColor="accent6"/>
          <w:left w:val="single" w:sz="8" w:space="0" w:color="AB73D5" w:themeColor="accent6"/>
          <w:bottom w:val="single" w:sz="8" w:space="0" w:color="AB73D5" w:themeColor="accent6"/>
          <w:right w:val="single" w:sz="8" w:space="0" w:color="AB73D5" w:themeColor="accent6"/>
        </w:tcBorders>
        <w:shd w:val="clear" w:color="auto" w:fill="EADCF4" w:themeFill="accent6" w:themeFillTint="3F"/>
      </w:tcPr>
    </w:tblStylePr>
    <w:tblStylePr w:type="band1Horz">
      <w:tblPr/>
      <w:tcPr>
        <w:tcBorders>
          <w:top w:val="single" w:sz="8" w:space="0" w:color="AB73D5" w:themeColor="accent6"/>
          <w:left w:val="single" w:sz="8" w:space="0" w:color="AB73D5" w:themeColor="accent6"/>
          <w:bottom w:val="single" w:sz="8" w:space="0" w:color="AB73D5" w:themeColor="accent6"/>
          <w:right w:val="single" w:sz="8" w:space="0" w:color="AB73D5" w:themeColor="accent6"/>
          <w:insideV w:val="single" w:sz="8" w:space="0" w:color="AB73D5" w:themeColor="accent6"/>
        </w:tcBorders>
        <w:shd w:val="clear" w:color="auto" w:fill="EADCF4" w:themeFill="accent6" w:themeFillTint="3F"/>
      </w:tcPr>
    </w:tblStylePr>
    <w:tblStylePr w:type="band2Horz">
      <w:tblPr/>
      <w:tcPr>
        <w:tcBorders>
          <w:top w:val="single" w:sz="8" w:space="0" w:color="AB73D5" w:themeColor="accent6"/>
          <w:left w:val="single" w:sz="8" w:space="0" w:color="AB73D5" w:themeColor="accent6"/>
          <w:bottom w:val="single" w:sz="8" w:space="0" w:color="AB73D5" w:themeColor="accent6"/>
          <w:right w:val="single" w:sz="8" w:space="0" w:color="AB73D5" w:themeColor="accent6"/>
          <w:insideV w:val="single" w:sz="8" w:space="0" w:color="AB73D5"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E76262" w:themeColor="accent1" w:themeTint="BF"/>
        <w:left w:val="single" w:sz="8" w:space="0" w:color="E76262" w:themeColor="accent1" w:themeTint="BF"/>
        <w:bottom w:val="single" w:sz="8" w:space="0" w:color="E76262" w:themeColor="accent1" w:themeTint="BF"/>
        <w:right w:val="single" w:sz="8" w:space="0" w:color="E76262" w:themeColor="accent1" w:themeTint="BF"/>
        <w:insideH w:val="single" w:sz="8" w:space="0" w:color="E7626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76262" w:themeColor="accent1" w:themeTint="BF"/>
          <w:left w:val="single" w:sz="8" w:space="0" w:color="E76262" w:themeColor="accent1" w:themeTint="BF"/>
          <w:bottom w:val="single" w:sz="8" w:space="0" w:color="E76262" w:themeColor="accent1" w:themeTint="BF"/>
          <w:right w:val="single" w:sz="8" w:space="0" w:color="E76262" w:themeColor="accent1" w:themeTint="BF"/>
          <w:insideH w:val="nil"/>
          <w:insideV w:val="nil"/>
        </w:tcBorders>
        <w:shd w:val="clear" w:color="auto" w:fill="DF2E2F" w:themeFill="accent1"/>
      </w:tcPr>
    </w:tblStylePr>
    <w:tblStylePr w:type="lastRow">
      <w:pPr>
        <w:spacing w:before="0" w:after="0" w:line="240" w:lineRule="auto"/>
      </w:pPr>
      <w:rPr>
        <w:b/>
        <w:bCs/>
      </w:rPr>
      <w:tblPr/>
      <w:tcPr>
        <w:tcBorders>
          <w:top w:val="double" w:sz="6" w:space="0" w:color="E76262" w:themeColor="accent1" w:themeTint="BF"/>
          <w:left w:val="single" w:sz="8" w:space="0" w:color="E76262" w:themeColor="accent1" w:themeTint="BF"/>
          <w:bottom w:val="single" w:sz="8" w:space="0" w:color="E76262" w:themeColor="accent1" w:themeTint="BF"/>
          <w:right w:val="single" w:sz="8" w:space="0" w:color="E7626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BCB" w:themeFill="accent1" w:themeFillTint="3F"/>
      </w:tcPr>
    </w:tblStylePr>
    <w:tblStylePr w:type="band1Horz">
      <w:tblPr/>
      <w:tcPr>
        <w:tcBorders>
          <w:insideH w:val="nil"/>
          <w:insideV w:val="nil"/>
        </w:tcBorders>
        <w:shd w:val="clear" w:color="auto" w:fill="F7CBCB"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FF6640" w:themeColor="accent2" w:themeTint="BF"/>
        <w:left w:val="single" w:sz="8" w:space="0" w:color="FF6640" w:themeColor="accent2" w:themeTint="BF"/>
        <w:bottom w:val="single" w:sz="8" w:space="0" w:color="FF6640" w:themeColor="accent2" w:themeTint="BF"/>
        <w:right w:val="single" w:sz="8" w:space="0" w:color="FF6640" w:themeColor="accent2" w:themeTint="BF"/>
        <w:insideH w:val="single" w:sz="8" w:space="0" w:color="FF6640"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6640" w:themeColor="accent2" w:themeTint="BF"/>
          <w:left w:val="single" w:sz="8" w:space="0" w:color="FF6640" w:themeColor="accent2" w:themeTint="BF"/>
          <w:bottom w:val="single" w:sz="8" w:space="0" w:color="FF6640" w:themeColor="accent2" w:themeTint="BF"/>
          <w:right w:val="single" w:sz="8" w:space="0" w:color="FF6640" w:themeColor="accent2" w:themeTint="BF"/>
          <w:insideH w:val="nil"/>
          <w:insideV w:val="nil"/>
        </w:tcBorders>
        <w:shd w:val="clear" w:color="auto" w:fill="FF3300" w:themeFill="accent2"/>
      </w:tcPr>
    </w:tblStylePr>
    <w:tblStylePr w:type="lastRow">
      <w:pPr>
        <w:spacing w:before="0" w:after="0" w:line="240" w:lineRule="auto"/>
      </w:pPr>
      <w:rPr>
        <w:b/>
        <w:bCs/>
      </w:rPr>
      <w:tblPr/>
      <w:tcPr>
        <w:tcBorders>
          <w:top w:val="double" w:sz="6" w:space="0" w:color="FF6640" w:themeColor="accent2" w:themeTint="BF"/>
          <w:left w:val="single" w:sz="8" w:space="0" w:color="FF6640" w:themeColor="accent2" w:themeTint="BF"/>
          <w:bottom w:val="single" w:sz="8" w:space="0" w:color="FF6640" w:themeColor="accent2" w:themeTint="BF"/>
          <w:right w:val="single" w:sz="8" w:space="0" w:color="FF66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CC0" w:themeFill="accent2" w:themeFillTint="3F"/>
      </w:tcPr>
    </w:tblStylePr>
    <w:tblStylePr w:type="band1Horz">
      <w:tblPr/>
      <w:tcPr>
        <w:tcBorders>
          <w:insideH w:val="nil"/>
          <w:insideV w:val="nil"/>
        </w:tcBorders>
        <w:shd w:val="clear" w:color="auto" w:fill="FFCCC0"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10EBAF" w:themeColor="accent3" w:themeTint="BF"/>
        <w:left w:val="single" w:sz="8" w:space="0" w:color="10EBAF" w:themeColor="accent3" w:themeTint="BF"/>
        <w:bottom w:val="single" w:sz="8" w:space="0" w:color="10EBAF" w:themeColor="accent3" w:themeTint="BF"/>
        <w:right w:val="single" w:sz="8" w:space="0" w:color="10EBAF" w:themeColor="accent3" w:themeTint="BF"/>
        <w:insideH w:val="single" w:sz="8" w:space="0" w:color="10EBAF"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10EBAF" w:themeColor="accent3" w:themeTint="BF"/>
          <w:left w:val="single" w:sz="8" w:space="0" w:color="10EBAF" w:themeColor="accent3" w:themeTint="BF"/>
          <w:bottom w:val="single" w:sz="8" w:space="0" w:color="10EBAF" w:themeColor="accent3" w:themeTint="BF"/>
          <w:right w:val="single" w:sz="8" w:space="0" w:color="10EBAF" w:themeColor="accent3" w:themeTint="BF"/>
          <w:insideH w:val="nil"/>
          <w:insideV w:val="nil"/>
        </w:tcBorders>
        <w:shd w:val="clear" w:color="auto" w:fill="0B9B74" w:themeFill="accent3"/>
      </w:tcPr>
    </w:tblStylePr>
    <w:tblStylePr w:type="lastRow">
      <w:pPr>
        <w:spacing w:before="0" w:after="0" w:line="240" w:lineRule="auto"/>
      </w:pPr>
      <w:rPr>
        <w:b/>
        <w:bCs/>
      </w:rPr>
      <w:tblPr/>
      <w:tcPr>
        <w:tcBorders>
          <w:top w:val="double" w:sz="6" w:space="0" w:color="10EBAF" w:themeColor="accent3" w:themeTint="BF"/>
          <w:left w:val="single" w:sz="8" w:space="0" w:color="10EBAF" w:themeColor="accent3" w:themeTint="BF"/>
          <w:bottom w:val="single" w:sz="8" w:space="0" w:color="10EBAF" w:themeColor="accent3" w:themeTint="BF"/>
          <w:right w:val="single" w:sz="8" w:space="0" w:color="10EBA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FF9E5" w:themeFill="accent3" w:themeFillTint="3F"/>
      </w:tcPr>
    </w:tblStylePr>
    <w:tblStylePr w:type="band1Horz">
      <w:tblPr/>
      <w:tcPr>
        <w:tcBorders>
          <w:insideH w:val="nil"/>
          <w:insideV w:val="nil"/>
        </w:tcBorders>
        <w:shd w:val="clear" w:color="auto" w:fill="AFF9E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FFCF40" w:themeColor="accent5" w:themeTint="BF"/>
        <w:left w:val="single" w:sz="8" w:space="0" w:color="FFCF40" w:themeColor="accent5" w:themeTint="BF"/>
        <w:bottom w:val="single" w:sz="8" w:space="0" w:color="FFCF40" w:themeColor="accent5" w:themeTint="BF"/>
        <w:right w:val="single" w:sz="8" w:space="0" w:color="FFCF40" w:themeColor="accent5" w:themeTint="BF"/>
        <w:insideH w:val="single" w:sz="8" w:space="0" w:color="FFCF4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5" w:themeTint="BF"/>
          <w:left w:val="single" w:sz="8" w:space="0" w:color="FFCF40" w:themeColor="accent5" w:themeTint="BF"/>
          <w:bottom w:val="single" w:sz="8" w:space="0" w:color="FFCF40" w:themeColor="accent5" w:themeTint="BF"/>
          <w:right w:val="single" w:sz="8" w:space="0" w:color="FFCF40" w:themeColor="accent5" w:themeTint="BF"/>
          <w:insideH w:val="nil"/>
          <w:insideV w:val="nil"/>
        </w:tcBorders>
        <w:shd w:val="clear" w:color="auto" w:fill="FFC000" w:themeFill="accent5"/>
      </w:tcPr>
    </w:tblStylePr>
    <w:tblStylePr w:type="lastRow">
      <w:pPr>
        <w:spacing w:before="0" w:after="0" w:line="240" w:lineRule="auto"/>
      </w:pPr>
      <w:rPr>
        <w:b/>
        <w:bCs/>
      </w:rPr>
      <w:tblPr/>
      <w:tcPr>
        <w:tcBorders>
          <w:top w:val="double" w:sz="6" w:space="0" w:color="FFCF40" w:themeColor="accent5" w:themeTint="BF"/>
          <w:left w:val="single" w:sz="8" w:space="0" w:color="FFCF40" w:themeColor="accent5" w:themeTint="BF"/>
          <w:bottom w:val="single" w:sz="8" w:space="0" w:color="FFCF40" w:themeColor="accent5" w:themeTint="BF"/>
          <w:right w:val="single" w:sz="8" w:space="0" w:color="FFC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5" w:themeFillTint="3F"/>
      </w:tcPr>
    </w:tblStylePr>
    <w:tblStylePr w:type="band1Horz">
      <w:tblPr/>
      <w:tcPr>
        <w:tcBorders>
          <w:insideH w:val="nil"/>
          <w:insideV w:val="nil"/>
        </w:tcBorders>
        <w:shd w:val="clear" w:color="auto" w:fill="FFEFC0"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BF96DF" w:themeColor="accent6" w:themeTint="BF"/>
        <w:left w:val="single" w:sz="8" w:space="0" w:color="BF96DF" w:themeColor="accent6" w:themeTint="BF"/>
        <w:bottom w:val="single" w:sz="8" w:space="0" w:color="BF96DF" w:themeColor="accent6" w:themeTint="BF"/>
        <w:right w:val="single" w:sz="8" w:space="0" w:color="BF96DF" w:themeColor="accent6" w:themeTint="BF"/>
        <w:insideH w:val="single" w:sz="8" w:space="0" w:color="BF96D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F96DF" w:themeColor="accent6" w:themeTint="BF"/>
          <w:left w:val="single" w:sz="8" w:space="0" w:color="BF96DF" w:themeColor="accent6" w:themeTint="BF"/>
          <w:bottom w:val="single" w:sz="8" w:space="0" w:color="BF96DF" w:themeColor="accent6" w:themeTint="BF"/>
          <w:right w:val="single" w:sz="8" w:space="0" w:color="BF96DF" w:themeColor="accent6" w:themeTint="BF"/>
          <w:insideH w:val="nil"/>
          <w:insideV w:val="nil"/>
        </w:tcBorders>
        <w:shd w:val="clear" w:color="auto" w:fill="AB73D5" w:themeFill="accent6"/>
      </w:tcPr>
    </w:tblStylePr>
    <w:tblStylePr w:type="lastRow">
      <w:pPr>
        <w:spacing w:before="0" w:after="0" w:line="240" w:lineRule="auto"/>
      </w:pPr>
      <w:rPr>
        <w:b/>
        <w:bCs/>
      </w:rPr>
      <w:tblPr/>
      <w:tcPr>
        <w:tcBorders>
          <w:top w:val="double" w:sz="6" w:space="0" w:color="BF96DF" w:themeColor="accent6" w:themeTint="BF"/>
          <w:left w:val="single" w:sz="8" w:space="0" w:color="BF96DF" w:themeColor="accent6" w:themeTint="BF"/>
          <w:bottom w:val="single" w:sz="8" w:space="0" w:color="BF96DF" w:themeColor="accent6" w:themeTint="BF"/>
          <w:right w:val="single" w:sz="8" w:space="0" w:color="BF96D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DCF4" w:themeFill="accent6" w:themeFillTint="3F"/>
      </w:tcPr>
    </w:tblStylePr>
    <w:tblStylePr w:type="band1Horz">
      <w:tblPr/>
      <w:tcPr>
        <w:tcBorders>
          <w:insideH w:val="nil"/>
          <w:insideV w:val="nil"/>
        </w:tcBorders>
        <w:shd w:val="clear" w:color="auto" w:fill="EADCF4"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2E2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2E2F" w:themeFill="accent1"/>
      </w:tcPr>
    </w:tblStylePr>
    <w:tblStylePr w:type="lastCol">
      <w:rPr>
        <w:b/>
        <w:bCs/>
        <w:color w:val="FFFFFF" w:themeColor="background1"/>
      </w:rPr>
      <w:tblPr/>
      <w:tcPr>
        <w:tcBorders>
          <w:left w:val="nil"/>
          <w:right w:val="nil"/>
          <w:insideH w:val="nil"/>
          <w:insideV w:val="nil"/>
        </w:tcBorders>
        <w:shd w:val="clear" w:color="auto" w:fill="DF2E2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3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3300" w:themeFill="accent2"/>
      </w:tcPr>
    </w:tblStylePr>
    <w:tblStylePr w:type="lastCol">
      <w:rPr>
        <w:b/>
        <w:bCs/>
        <w:color w:val="FFFFFF" w:themeColor="background1"/>
      </w:rPr>
      <w:tblPr/>
      <w:tcPr>
        <w:tcBorders>
          <w:left w:val="nil"/>
          <w:right w:val="nil"/>
          <w:insideH w:val="nil"/>
          <w:insideV w:val="nil"/>
        </w:tcBorders>
        <w:shd w:val="clear" w:color="auto" w:fill="FF3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9B7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9B74" w:themeFill="accent3"/>
      </w:tcPr>
    </w:tblStylePr>
    <w:tblStylePr w:type="lastCol">
      <w:rPr>
        <w:b/>
        <w:bCs/>
        <w:color w:val="FFFFFF" w:themeColor="background1"/>
      </w:rPr>
      <w:tblPr/>
      <w:tcPr>
        <w:tcBorders>
          <w:left w:val="nil"/>
          <w:right w:val="nil"/>
          <w:insideH w:val="nil"/>
          <w:insideV w:val="nil"/>
        </w:tcBorders>
        <w:shd w:val="clear" w:color="auto" w:fill="0B9B7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CF9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CF9B" w:themeFill="accent4"/>
      </w:tcPr>
    </w:tblStylePr>
    <w:tblStylePr w:type="lastCol">
      <w:rPr>
        <w:b/>
        <w:bCs/>
        <w:color w:val="FFFFFF" w:themeColor="background1"/>
      </w:rPr>
      <w:tblPr/>
      <w:tcPr>
        <w:tcBorders>
          <w:left w:val="nil"/>
          <w:right w:val="nil"/>
          <w:insideH w:val="nil"/>
          <w:insideV w:val="nil"/>
        </w:tcBorders>
        <w:shd w:val="clear" w:color="auto" w:fill="10CF9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5"/>
      </w:tcPr>
    </w:tblStylePr>
    <w:tblStylePr w:type="lastCol">
      <w:rPr>
        <w:b/>
        <w:bCs/>
        <w:color w:val="FFFFFF" w:themeColor="background1"/>
      </w:rPr>
      <w:tblPr/>
      <w:tcPr>
        <w:tcBorders>
          <w:left w:val="nil"/>
          <w:right w:val="nil"/>
          <w:insideH w:val="nil"/>
          <w:insideV w:val="nil"/>
        </w:tcBorders>
        <w:shd w:val="clear" w:color="auto" w:fill="FFC0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73D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73D5" w:themeFill="accent6"/>
      </w:tcPr>
    </w:tblStylePr>
    <w:tblStylePr w:type="lastCol">
      <w:rPr>
        <w:b/>
        <w:bCs/>
        <w:color w:val="FFFFFF" w:themeColor="background1"/>
      </w:rPr>
      <w:tblPr/>
      <w:tcPr>
        <w:tcBorders>
          <w:left w:val="nil"/>
          <w:right w:val="nil"/>
          <w:insideH w:val="nil"/>
          <w:insideV w:val="nil"/>
        </w:tcBorders>
        <w:shd w:val="clear" w:color="auto" w:fill="AB73D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F2E2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DF2E2F" w:themeColor="accent1"/>
        <w:bottom w:val="single" w:sz="8" w:space="0" w:color="DF2E2F"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DF2E2F" w:themeColor="accent1"/>
        </w:tcBorders>
      </w:tcPr>
    </w:tblStylePr>
    <w:tblStylePr w:type="lastRow">
      <w:rPr>
        <w:b/>
        <w:bCs/>
        <w:color w:val="DF2E2F" w:themeColor="text2"/>
      </w:rPr>
      <w:tblPr/>
      <w:tcPr>
        <w:tcBorders>
          <w:top w:val="single" w:sz="8" w:space="0" w:color="DF2E2F" w:themeColor="accent1"/>
          <w:bottom w:val="single" w:sz="8" w:space="0" w:color="DF2E2F" w:themeColor="accent1"/>
        </w:tcBorders>
      </w:tcPr>
    </w:tblStylePr>
    <w:tblStylePr w:type="firstCol">
      <w:rPr>
        <w:b/>
        <w:bCs/>
      </w:rPr>
    </w:tblStylePr>
    <w:tblStylePr w:type="lastCol">
      <w:rPr>
        <w:b/>
        <w:bCs/>
      </w:rPr>
      <w:tblPr/>
      <w:tcPr>
        <w:tcBorders>
          <w:top w:val="single" w:sz="8" w:space="0" w:color="DF2E2F" w:themeColor="accent1"/>
          <w:bottom w:val="single" w:sz="8" w:space="0" w:color="DF2E2F" w:themeColor="accent1"/>
        </w:tcBorders>
      </w:tcPr>
    </w:tblStylePr>
    <w:tblStylePr w:type="band1Vert">
      <w:tblPr/>
      <w:tcPr>
        <w:shd w:val="clear" w:color="auto" w:fill="F7CBCB" w:themeFill="accent1" w:themeFillTint="3F"/>
      </w:tcPr>
    </w:tblStylePr>
    <w:tblStylePr w:type="band1Horz">
      <w:tblPr/>
      <w:tcPr>
        <w:shd w:val="clear" w:color="auto" w:fill="F7CBCB"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FF3300" w:themeColor="accent2"/>
        <w:bottom w:val="single" w:sz="8" w:space="0" w:color="FF33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3300" w:themeColor="accent2"/>
        </w:tcBorders>
      </w:tcPr>
    </w:tblStylePr>
    <w:tblStylePr w:type="lastRow">
      <w:rPr>
        <w:b/>
        <w:bCs/>
        <w:color w:val="DF2E2F" w:themeColor="text2"/>
      </w:rPr>
      <w:tblPr/>
      <w:tcPr>
        <w:tcBorders>
          <w:top w:val="single" w:sz="8" w:space="0" w:color="FF3300" w:themeColor="accent2"/>
          <w:bottom w:val="single" w:sz="8" w:space="0" w:color="FF3300" w:themeColor="accent2"/>
        </w:tcBorders>
      </w:tcPr>
    </w:tblStylePr>
    <w:tblStylePr w:type="firstCol">
      <w:rPr>
        <w:b/>
        <w:bCs/>
      </w:rPr>
    </w:tblStylePr>
    <w:tblStylePr w:type="lastCol">
      <w:rPr>
        <w:b/>
        <w:bCs/>
      </w:rPr>
      <w:tblPr/>
      <w:tcPr>
        <w:tcBorders>
          <w:top w:val="single" w:sz="8" w:space="0" w:color="FF3300" w:themeColor="accent2"/>
          <w:bottom w:val="single" w:sz="8" w:space="0" w:color="FF3300" w:themeColor="accent2"/>
        </w:tcBorders>
      </w:tcPr>
    </w:tblStylePr>
    <w:tblStylePr w:type="band1Vert">
      <w:tblPr/>
      <w:tcPr>
        <w:shd w:val="clear" w:color="auto" w:fill="FFCCC0" w:themeFill="accent2" w:themeFillTint="3F"/>
      </w:tcPr>
    </w:tblStylePr>
    <w:tblStylePr w:type="band1Horz">
      <w:tblPr/>
      <w:tcPr>
        <w:shd w:val="clear" w:color="auto" w:fill="FFCCC0"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0B9B74" w:themeColor="accent3"/>
        <w:bottom w:val="single" w:sz="8" w:space="0" w:color="0B9B74"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B9B74" w:themeColor="accent3"/>
        </w:tcBorders>
      </w:tcPr>
    </w:tblStylePr>
    <w:tblStylePr w:type="lastRow">
      <w:rPr>
        <w:b/>
        <w:bCs/>
        <w:color w:val="DF2E2F" w:themeColor="text2"/>
      </w:rPr>
      <w:tblPr/>
      <w:tcPr>
        <w:tcBorders>
          <w:top w:val="single" w:sz="8" w:space="0" w:color="0B9B74" w:themeColor="accent3"/>
          <w:bottom w:val="single" w:sz="8" w:space="0" w:color="0B9B74" w:themeColor="accent3"/>
        </w:tcBorders>
      </w:tcPr>
    </w:tblStylePr>
    <w:tblStylePr w:type="firstCol">
      <w:rPr>
        <w:b/>
        <w:bCs/>
      </w:rPr>
    </w:tblStylePr>
    <w:tblStylePr w:type="lastCol">
      <w:rPr>
        <w:b/>
        <w:bCs/>
      </w:rPr>
      <w:tblPr/>
      <w:tcPr>
        <w:tcBorders>
          <w:top w:val="single" w:sz="8" w:space="0" w:color="0B9B74" w:themeColor="accent3"/>
          <w:bottom w:val="single" w:sz="8" w:space="0" w:color="0B9B74" w:themeColor="accent3"/>
        </w:tcBorders>
      </w:tcPr>
    </w:tblStylePr>
    <w:tblStylePr w:type="band1Vert">
      <w:tblPr/>
      <w:tcPr>
        <w:shd w:val="clear" w:color="auto" w:fill="AFF9E5" w:themeFill="accent3" w:themeFillTint="3F"/>
      </w:tcPr>
    </w:tblStylePr>
    <w:tblStylePr w:type="band1Horz">
      <w:tblPr/>
      <w:tcPr>
        <w:shd w:val="clear" w:color="auto" w:fill="AFF9E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10CF9B" w:themeColor="accent4"/>
        <w:bottom w:val="single" w:sz="8" w:space="0" w:color="10CF9B"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0CF9B" w:themeColor="accent4"/>
        </w:tcBorders>
      </w:tcPr>
    </w:tblStylePr>
    <w:tblStylePr w:type="lastRow">
      <w:rPr>
        <w:b/>
        <w:bCs/>
        <w:color w:val="DF2E2F" w:themeColor="text2"/>
      </w:rPr>
      <w:tblPr/>
      <w:tcPr>
        <w:tcBorders>
          <w:top w:val="single" w:sz="8" w:space="0" w:color="10CF9B" w:themeColor="accent4"/>
          <w:bottom w:val="single" w:sz="8" w:space="0" w:color="10CF9B" w:themeColor="accent4"/>
        </w:tcBorders>
      </w:tcPr>
    </w:tblStylePr>
    <w:tblStylePr w:type="firstCol">
      <w:rPr>
        <w:b/>
        <w:bCs/>
      </w:rPr>
    </w:tblStylePr>
    <w:tblStylePr w:type="lastCol">
      <w:rPr>
        <w:b/>
        <w:bCs/>
      </w:rPr>
      <w:tblPr/>
      <w:tcPr>
        <w:tcBorders>
          <w:top w:val="single" w:sz="8" w:space="0" w:color="10CF9B" w:themeColor="accent4"/>
          <w:bottom w:val="single" w:sz="8" w:space="0" w:color="10CF9B" w:themeColor="accent4"/>
        </w:tcBorders>
      </w:tcPr>
    </w:tblStylePr>
    <w:tblStylePr w:type="band1Vert">
      <w:tblPr/>
      <w:tcPr>
        <w:shd w:val="clear" w:color="auto" w:fill="BDFAE9" w:themeFill="accent4" w:themeFillTint="3F"/>
      </w:tcPr>
    </w:tblStylePr>
    <w:tblStylePr w:type="band1Horz">
      <w:tblPr/>
      <w:tcPr>
        <w:shd w:val="clear" w:color="auto" w:fill="BDFAE9"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FFC000" w:themeColor="accent5"/>
        <w:bottom w:val="single" w:sz="8" w:space="0" w:color="FFC0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5"/>
        </w:tcBorders>
      </w:tcPr>
    </w:tblStylePr>
    <w:tblStylePr w:type="lastRow">
      <w:rPr>
        <w:b/>
        <w:bCs/>
        <w:color w:val="DF2E2F" w:themeColor="text2"/>
      </w:rPr>
      <w:tblPr/>
      <w:tcPr>
        <w:tcBorders>
          <w:top w:val="single" w:sz="8" w:space="0" w:color="FFC000" w:themeColor="accent5"/>
          <w:bottom w:val="single" w:sz="8" w:space="0" w:color="FFC000" w:themeColor="accent5"/>
        </w:tcBorders>
      </w:tcPr>
    </w:tblStylePr>
    <w:tblStylePr w:type="firstCol">
      <w:rPr>
        <w:b/>
        <w:bCs/>
      </w:rPr>
    </w:tblStylePr>
    <w:tblStylePr w:type="lastCol">
      <w:rPr>
        <w:b/>
        <w:bCs/>
      </w:rPr>
      <w:tblPr/>
      <w:tcPr>
        <w:tcBorders>
          <w:top w:val="single" w:sz="8" w:space="0" w:color="FFC000" w:themeColor="accent5"/>
          <w:bottom w:val="single" w:sz="8" w:space="0" w:color="FFC000" w:themeColor="accent5"/>
        </w:tcBorders>
      </w:tcPr>
    </w:tblStylePr>
    <w:tblStylePr w:type="band1Vert">
      <w:tblPr/>
      <w:tcPr>
        <w:shd w:val="clear" w:color="auto" w:fill="FFEFC0" w:themeFill="accent5" w:themeFillTint="3F"/>
      </w:tcPr>
    </w:tblStylePr>
    <w:tblStylePr w:type="band1Horz">
      <w:tblPr/>
      <w:tcPr>
        <w:shd w:val="clear" w:color="auto" w:fill="FFEFC0"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s-ES_tradnl" w:eastAsia="es-ES_tradnl"/>
    </w:rPr>
    <w:tblPr>
      <w:tblStyleRowBandSize w:val="1"/>
      <w:tblStyleColBandSize w:val="1"/>
      <w:tblInd w:w="0" w:type="dxa"/>
      <w:tblBorders>
        <w:top w:val="single" w:sz="8" w:space="0" w:color="AB73D5" w:themeColor="accent6"/>
        <w:bottom w:val="single" w:sz="8" w:space="0" w:color="AB73D5"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B73D5" w:themeColor="accent6"/>
        </w:tcBorders>
      </w:tcPr>
    </w:tblStylePr>
    <w:tblStylePr w:type="lastRow">
      <w:rPr>
        <w:b/>
        <w:bCs/>
        <w:color w:val="DF2E2F" w:themeColor="text2"/>
      </w:rPr>
      <w:tblPr/>
      <w:tcPr>
        <w:tcBorders>
          <w:top w:val="single" w:sz="8" w:space="0" w:color="AB73D5" w:themeColor="accent6"/>
          <w:bottom w:val="single" w:sz="8" w:space="0" w:color="AB73D5" w:themeColor="accent6"/>
        </w:tcBorders>
      </w:tcPr>
    </w:tblStylePr>
    <w:tblStylePr w:type="firstCol">
      <w:rPr>
        <w:b/>
        <w:bCs/>
      </w:rPr>
    </w:tblStylePr>
    <w:tblStylePr w:type="lastCol">
      <w:rPr>
        <w:b/>
        <w:bCs/>
      </w:rPr>
      <w:tblPr/>
      <w:tcPr>
        <w:tcBorders>
          <w:top w:val="single" w:sz="8" w:space="0" w:color="AB73D5" w:themeColor="accent6"/>
          <w:bottom w:val="single" w:sz="8" w:space="0" w:color="AB73D5" w:themeColor="accent6"/>
        </w:tcBorders>
      </w:tcPr>
    </w:tblStylePr>
    <w:tblStylePr w:type="band1Vert">
      <w:tblPr/>
      <w:tcPr>
        <w:shd w:val="clear" w:color="auto" w:fill="EADCF4" w:themeFill="accent6" w:themeFillTint="3F"/>
      </w:tcPr>
    </w:tblStylePr>
    <w:tblStylePr w:type="band1Horz">
      <w:tblPr/>
      <w:tcPr>
        <w:shd w:val="clear" w:color="auto" w:fill="EADCF4"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DF2E2F" w:themeColor="accent1"/>
        <w:left w:val="single" w:sz="8" w:space="0" w:color="DF2E2F" w:themeColor="accent1"/>
        <w:bottom w:val="single" w:sz="8" w:space="0" w:color="DF2E2F" w:themeColor="accent1"/>
        <w:right w:val="single" w:sz="8" w:space="0" w:color="DF2E2F"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DF2E2F" w:themeColor="accent1"/>
          <w:right w:val="nil"/>
          <w:insideH w:val="nil"/>
          <w:insideV w:val="nil"/>
        </w:tcBorders>
        <w:shd w:val="clear" w:color="auto" w:fill="FFFFFF" w:themeFill="background1"/>
      </w:tcPr>
    </w:tblStylePr>
    <w:tblStylePr w:type="lastRow">
      <w:tblPr/>
      <w:tcPr>
        <w:tcBorders>
          <w:top w:val="single" w:sz="8" w:space="0" w:color="DF2E2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2E2F" w:themeColor="accent1"/>
          <w:insideH w:val="nil"/>
          <w:insideV w:val="nil"/>
        </w:tcBorders>
        <w:shd w:val="clear" w:color="auto" w:fill="FFFFFF" w:themeFill="background1"/>
      </w:tcPr>
    </w:tblStylePr>
    <w:tblStylePr w:type="lastCol">
      <w:tblPr/>
      <w:tcPr>
        <w:tcBorders>
          <w:top w:val="nil"/>
          <w:left w:val="single" w:sz="8" w:space="0" w:color="DF2E2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BCB" w:themeFill="accent1" w:themeFillTint="3F"/>
      </w:tcPr>
    </w:tblStylePr>
    <w:tblStylePr w:type="band1Horz">
      <w:tblPr/>
      <w:tcPr>
        <w:tcBorders>
          <w:top w:val="nil"/>
          <w:bottom w:val="nil"/>
          <w:insideH w:val="nil"/>
          <w:insideV w:val="nil"/>
        </w:tcBorders>
        <w:shd w:val="clear" w:color="auto" w:fill="F7CB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FF3300" w:themeColor="accent2"/>
        <w:left w:val="single" w:sz="8" w:space="0" w:color="FF3300" w:themeColor="accent2"/>
        <w:bottom w:val="single" w:sz="8" w:space="0" w:color="FF3300" w:themeColor="accent2"/>
        <w:right w:val="single" w:sz="8" w:space="0" w:color="FF33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F3300" w:themeColor="accent2"/>
          <w:right w:val="nil"/>
          <w:insideH w:val="nil"/>
          <w:insideV w:val="nil"/>
        </w:tcBorders>
        <w:shd w:val="clear" w:color="auto" w:fill="FFFFFF" w:themeFill="background1"/>
      </w:tcPr>
    </w:tblStylePr>
    <w:tblStylePr w:type="lastRow">
      <w:tblPr/>
      <w:tcPr>
        <w:tcBorders>
          <w:top w:val="single" w:sz="8" w:space="0" w:color="FF3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3300" w:themeColor="accent2"/>
          <w:insideH w:val="nil"/>
          <w:insideV w:val="nil"/>
        </w:tcBorders>
        <w:shd w:val="clear" w:color="auto" w:fill="FFFFFF" w:themeFill="background1"/>
      </w:tcPr>
    </w:tblStylePr>
    <w:tblStylePr w:type="lastCol">
      <w:tblPr/>
      <w:tcPr>
        <w:tcBorders>
          <w:top w:val="nil"/>
          <w:left w:val="single" w:sz="8" w:space="0" w:color="FF3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CC0" w:themeFill="accent2" w:themeFillTint="3F"/>
      </w:tcPr>
    </w:tblStylePr>
    <w:tblStylePr w:type="band1Horz">
      <w:tblPr/>
      <w:tcPr>
        <w:tcBorders>
          <w:top w:val="nil"/>
          <w:bottom w:val="nil"/>
          <w:insideH w:val="nil"/>
          <w:insideV w:val="nil"/>
        </w:tcBorders>
        <w:shd w:val="clear" w:color="auto" w:fill="FFCC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0B9B74" w:themeColor="accent3"/>
        <w:left w:val="single" w:sz="8" w:space="0" w:color="0B9B74" w:themeColor="accent3"/>
        <w:bottom w:val="single" w:sz="8" w:space="0" w:color="0B9B74" w:themeColor="accent3"/>
        <w:right w:val="single" w:sz="8" w:space="0" w:color="0B9B74"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0B9B74" w:themeColor="accent3"/>
          <w:right w:val="nil"/>
          <w:insideH w:val="nil"/>
          <w:insideV w:val="nil"/>
        </w:tcBorders>
        <w:shd w:val="clear" w:color="auto" w:fill="FFFFFF" w:themeFill="background1"/>
      </w:tcPr>
    </w:tblStylePr>
    <w:tblStylePr w:type="lastRow">
      <w:tblPr/>
      <w:tcPr>
        <w:tcBorders>
          <w:top w:val="single" w:sz="8" w:space="0" w:color="0B9B7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9B74" w:themeColor="accent3"/>
          <w:insideH w:val="nil"/>
          <w:insideV w:val="nil"/>
        </w:tcBorders>
        <w:shd w:val="clear" w:color="auto" w:fill="FFFFFF" w:themeFill="background1"/>
      </w:tcPr>
    </w:tblStylePr>
    <w:tblStylePr w:type="lastCol">
      <w:tblPr/>
      <w:tcPr>
        <w:tcBorders>
          <w:top w:val="nil"/>
          <w:left w:val="single" w:sz="8" w:space="0" w:color="0B9B7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F9E5" w:themeFill="accent3" w:themeFillTint="3F"/>
      </w:tcPr>
    </w:tblStylePr>
    <w:tblStylePr w:type="band1Horz">
      <w:tblPr/>
      <w:tcPr>
        <w:tcBorders>
          <w:top w:val="nil"/>
          <w:bottom w:val="nil"/>
          <w:insideH w:val="nil"/>
          <w:insideV w:val="nil"/>
        </w:tcBorders>
        <w:shd w:val="clear" w:color="auto" w:fill="AFF9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10CF9B" w:themeColor="accent4"/>
        <w:left w:val="single" w:sz="8" w:space="0" w:color="10CF9B" w:themeColor="accent4"/>
        <w:bottom w:val="single" w:sz="8" w:space="0" w:color="10CF9B" w:themeColor="accent4"/>
        <w:right w:val="single" w:sz="8" w:space="0" w:color="10CF9B"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tblPr/>
      <w:tcPr>
        <w:tcBorders>
          <w:top w:val="single" w:sz="8" w:space="0" w:color="10CF9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CF9B" w:themeColor="accent4"/>
          <w:insideH w:val="nil"/>
          <w:insideV w:val="nil"/>
        </w:tcBorders>
        <w:shd w:val="clear" w:color="auto" w:fill="FFFFFF" w:themeFill="background1"/>
      </w:tcPr>
    </w:tblStylePr>
    <w:tblStylePr w:type="lastCol">
      <w:tblPr/>
      <w:tcPr>
        <w:tcBorders>
          <w:top w:val="nil"/>
          <w:left w:val="single" w:sz="8" w:space="0" w:color="10CF9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top w:val="nil"/>
          <w:bottom w:val="nil"/>
          <w:insideH w:val="nil"/>
          <w:insideV w:val="nil"/>
        </w:tcBorders>
        <w:shd w:val="clear" w:color="auto" w:fill="BDFA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FFC000" w:themeColor="accent5"/>
        <w:left w:val="single" w:sz="8" w:space="0" w:color="FFC000" w:themeColor="accent5"/>
        <w:bottom w:val="single" w:sz="8" w:space="0" w:color="FFC000" w:themeColor="accent5"/>
        <w:right w:val="single" w:sz="8" w:space="0" w:color="FFC0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5"/>
          <w:right w:val="nil"/>
          <w:insideH w:val="nil"/>
          <w:insideV w:val="nil"/>
        </w:tcBorders>
        <w:shd w:val="clear" w:color="auto" w:fill="FFFFFF" w:themeFill="background1"/>
      </w:tcPr>
    </w:tblStylePr>
    <w:tblStylePr w:type="lastRow">
      <w:tblPr/>
      <w:tcPr>
        <w:tcBorders>
          <w:top w:val="single" w:sz="8" w:space="0" w:color="FFC0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5"/>
          <w:insideH w:val="nil"/>
          <w:insideV w:val="nil"/>
        </w:tcBorders>
        <w:shd w:val="clear" w:color="auto" w:fill="FFFFFF" w:themeFill="background1"/>
      </w:tcPr>
    </w:tblStylePr>
    <w:tblStylePr w:type="lastCol">
      <w:tblPr/>
      <w:tcPr>
        <w:tcBorders>
          <w:top w:val="nil"/>
          <w:left w:val="single" w:sz="8" w:space="0" w:color="FFC0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5" w:themeFillTint="3F"/>
      </w:tcPr>
    </w:tblStylePr>
    <w:tblStylePr w:type="band1Horz">
      <w:tblPr/>
      <w:tcPr>
        <w:tcBorders>
          <w:top w:val="nil"/>
          <w:bottom w:val="nil"/>
          <w:insideH w:val="nil"/>
          <w:insideV w:val="nil"/>
        </w:tcBorders>
        <w:shd w:val="clear" w:color="auto" w:fill="FFE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AB73D5" w:themeColor="accent6"/>
        <w:left w:val="single" w:sz="8" w:space="0" w:color="AB73D5" w:themeColor="accent6"/>
        <w:bottom w:val="single" w:sz="8" w:space="0" w:color="AB73D5" w:themeColor="accent6"/>
        <w:right w:val="single" w:sz="8" w:space="0" w:color="AB73D5"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B73D5" w:themeColor="accent6"/>
          <w:right w:val="nil"/>
          <w:insideH w:val="nil"/>
          <w:insideV w:val="nil"/>
        </w:tcBorders>
        <w:shd w:val="clear" w:color="auto" w:fill="FFFFFF" w:themeFill="background1"/>
      </w:tcPr>
    </w:tblStylePr>
    <w:tblStylePr w:type="lastRow">
      <w:tblPr/>
      <w:tcPr>
        <w:tcBorders>
          <w:top w:val="single" w:sz="8" w:space="0" w:color="AB73D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73D5" w:themeColor="accent6"/>
          <w:insideH w:val="nil"/>
          <w:insideV w:val="nil"/>
        </w:tcBorders>
        <w:shd w:val="clear" w:color="auto" w:fill="FFFFFF" w:themeFill="background1"/>
      </w:tcPr>
    </w:tblStylePr>
    <w:tblStylePr w:type="lastCol">
      <w:tblPr/>
      <w:tcPr>
        <w:tcBorders>
          <w:top w:val="nil"/>
          <w:left w:val="single" w:sz="8" w:space="0" w:color="AB73D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DCF4" w:themeFill="accent6" w:themeFillTint="3F"/>
      </w:tcPr>
    </w:tblStylePr>
    <w:tblStylePr w:type="band1Horz">
      <w:tblPr/>
      <w:tcPr>
        <w:tcBorders>
          <w:top w:val="nil"/>
          <w:bottom w:val="nil"/>
          <w:insideH w:val="nil"/>
          <w:insideV w:val="nil"/>
        </w:tcBorders>
        <w:shd w:val="clear" w:color="auto" w:fill="EADC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E76262" w:themeColor="accent1" w:themeTint="BF"/>
        <w:left w:val="single" w:sz="8" w:space="0" w:color="E76262" w:themeColor="accent1" w:themeTint="BF"/>
        <w:bottom w:val="single" w:sz="8" w:space="0" w:color="E76262" w:themeColor="accent1" w:themeTint="BF"/>
        <w:right w:val="single" w:sz="8" w:space="0" w:color="E76262" w:themeColor="accent1" w:themeTint="BF"/>
        <w:insideH w:val="single" w:sz="8" w:space="0" w:color="E76262" w:themeColor="accent1" w:themeTint="BF"/>
        <w:insideV w:val="single" w:sz="8" w:space="0" w:color="E76262" w:themeColor="accent1" w:themeTint="BF"/>
      </w:tblBorders>
      <w:tblCellMar>
        <w:top w:w="0" w:type="dxa"/>
        <w:left w:w="108" w:type="dxa"/>
        <w:bottom w:w="0" w:type="dxa"/>
        <w:right w:w="108" w:type="dxa"/>
      </w:tblCellMar>
    </w:tblPr>
    <w:tcPr>
      <w:shd w:val="clear" w:color="auto" w:fill="F7CBCB" w:themeFill="accent1" w:themeFillTint="3F"/>
    </w:tcPr>
    <w:tblStylePr w:type="firstRow">
      <w:rPr>
        <w:b/>
        <w:bCs/>
      </w:rPr>
    </w:tblStylePr>
    <w:tblStylePr w:type="lastRow">
      <w:rPr>
        <w:b/>
        <w:bCs/>
      </w:rPr>
      <w:tblPr/>
      <w:tcPr>
        <w:tcBorders>
          <w:top w:val="single" w:sz="18" w:space="0" w:color="E76262" w:themeColor="accent1" w:themeTint="BF"/>
        </w:tcBorders>
      </w:tcPr>
    </w:tblStylePr>
    <w:tblStylePr w:type="firstCol">
      <w:rPr>
        <w:b/>
        <w:bCs/>
      </w:rPr>
    </w:tblStylePr>
    <w:tblStylePr w:type="lastCol">
      <w:rPr>
        <w:b/>
        <w:bCs/>
      </w:rPr>
    </w:tblStylePr>
    <w:tblStylePr w:type="band1Vert">
      <w:tblPr/>
      <w:tcPr>
        <w:shd w:val="clear" w:color="auto" w:fill="EF9697" w:themeFill="accent1" w:themeFillTint="7F"/>
      </w:tcPr>
    </w:tblStylePr>
    <w:tblStylePr w:type="band1Horz">
      <w:tblPr/>
      <w:tcPr>
        <w:shd w:val="clear" w:color="auto" w:fill="EF9697"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FF6640" w:themeColor="accent2" w:themeTint="BF"/>
        <w:left w:val="single" w:sz="8" w:space="0" w:color="FF6640" w:themeColor="accent2" w:themeTint="BF"/>
        <w:bottom w:val="single" w:sz="8" w:space="0" w:color="FF6640" w:themeColor="accent2" w:themeTint="BF"/>
        <w:right w:val="single" w:sz="8" w:space="0" w:color="FF6640" w:themeColor="accent2" w:themeTint="BF"/>
        <w:insideH w:val="single" w:sz="8" w:space="0" w:color="FF6640" w:themeColor="accent2" w:themeTint="BF"/>
        <w:insideV w:val="single" w:sz="8" w:space="0" w:color="FF6640" w:themeColor="accent2" w:themeTint="BF"/>
      </w:tblBorders>
      <w:tblCellMar>
        <w:top w:w="0" w:type="dxa"/>
        <w:left w:w="108" w:type="dxa"/>
        <w:bottom w:w="0" w:type="dxa"/>
        <w:right w:w="108" w:type="dxa"/>
      </w:tblCellMar>
    </w:tblPr>
    <w:tcPr>
      <w:shd w:val="clear" w:color="auto" w:fill="FFCCC0" w:themeFill="accent2" w:themeFillTint="3F"/>
    </w:tcPr>
    <w:tblStylePr w:type="firstRow">
      <w:rPr>
        <w:b/>
        <w:bCs/>
      </w:rPr>
    </w:tblStylePr>
    <w:tblStylePr w:type="lastRow">
      <w:rPr>
        <w:b/>
        <w:bCs/>
      </w:rPr>
      <w:tblPr/>
      <w:tcPr>
        <w:tcBorders>
          <w:top w:val="single" w:sz="18" w:space="0" w:color="FF6640" w:themeColor="accent2" w:themeTint="BF"/>
        </w:tcBorders>
      </w:tcPr>
    </w:tblStylePr>
    <w:tblStylePr w:type="firstCol">
      <w:rPr>
        <w:b/>
        <w:bCs/>
      </w:rPr>
    </w:tblStylePr>
    <w:tblStylePr w:type="lastCol">
      <w:rPr>
        <w:b/>
        <w:bCs/>
      </w:rPr>
    </w:tblStylePr>
    <w:tblStylePr w:type="band1Vert">
      <w:tblPr/>
      <w:tcPr>
        <w:shd w:val="clear" w:color="auto" w:fill="FF9980" w:themeFill="accent2" w:themeFillTint="7F"/>
      </w:tcPr>
    </w:tblStylePr>
    <w:tblStylePr w:type="band1Horz">
      <w:tblPr/>
      <w:tcPr>
        <w:shd w:val="clear" w:color="auto" w:fill="FF9980"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10EBAF" w:themeColor="accent3" w:themeTint="BF"/>
        <w:left w:val="single" w:sz="8" w:space="0" w:color="10EBAF" w:themeColor="accent3" w:themeTint="BF"/>
        <w:bottom w:val="single" w:sz="8" w:space="0" w:color="10EBAF" w:themeColor="accent3" w:themeTint="BF"/>
        <w:right w:val="single" w:sz="8" w:space="0" w:color="10EBAF" w:themeColor="accent3" w:themeTint="BF"/>
        <w:insideH w:val="single" w:sz="8" w:space="0" w:color="10EBAF" w:themeColor="accent3" w:themeTint="BF"/>
        <w:insideV w:val="single" w:sz="8" w:space="0" w:color="10EBAF" w:themeColor="accent3" w:themeTint="BF"/>
      </w:tblBorders>
      <w:tblCellMar>
        <w:top w:w="0" w:type="dxa"/>
        <w:left w:w="108" w:type="dxa"/>
        <w:bottom w:w="0" w:type="dxa"/>
        <w:right w:w="108" w:type="dxa"/>
      </w:tblCellMar>
    </w:tblPr>
    <w:tcPr>
      <w:shd w:val="clear" w:color="auto" w:fill="AFF9E5" w:themeFill="accent3" w:themeFillTint="3F"/>
    </w:tcPr>
    <w:tblStylePr w:type="firstRow">
      <w:rPr>
        <w:b/>
        <w:bCs/>
      </w:rPr>
    </w:tblStylePr>
    <w:tblStylePr w:type="lastRow">
      <w:rPr>
        <w:b/>
        <w:bCs/>
      </w:rPr>
      <w:tblPr/>
      <w:tcPr>
        <w:tcBorders>
          <w:top w:val="single" w:sz="18" w:space="0" w:color="10EBAF" w:themeColor="accent3" w:themeTint="BF"/>
        </w:tcBorders>
      </w:tcPr>
    </w:tblStylePr>
    <w:tblStylePr w:type="firstCol">
      <w:rPr>
        <w:b/>
        <w:bCs/>
      </w:rPr>
    </w:tblStylePr>
    <w:tblStylePr w:type="lastCol">
      <w:rPr>
        <w:b/>
        <w:bCs/>
      </w:rPr>
    </w:tblStylePr>
    <w:tblStylePr w:type="band1Vert">
      <w:tblPr/>
      <w:tcPr>
        <w:shd w:val="clear" w:color="auto" w:fill="5FF3CA" w:themeFill="accent3" w:themeFillTint="7F"/>
      </w:tcPr>
    </w:tblStylePr>
    <w:tblStylePr w:type="band1Horz">
      <w:tblPr/>
      <w:tcPr>
        <w:shd w:val="clear" w:color="auto" w:fill="5FF3CA"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insideV w:val="single" w:sz="8" w:space="0" w:color="37EFBD" w:themeColor="accent4" w:themeTint="BF"/>
      </w:tblBorders>
      <w:tblCellMar>
        <w:top w:w="0" w:type="dxa"/>
        <w:left w:w="108" w:type="dxa"/>
        <w:bottom w:w="0" w:type="dxa"/>
        <w:right w:w="108" w:type="dxa"/>
      </w:tblCellMar>
    </w:tblPr>
    <w:tcPr>
      <w:shd w:val="clear" w:color="auto" w:fill="BDFAE9" w:themeFill="accent4" w:themeFillTint="3F"/>
    </w:tcPr>
    <w:tblStylePr w:type="firstRow">
      <w:rPr>
        <w:b/>
        <w:bCs/>
      </w:rPr>
    </w:tblStylePr>
    <w:tblStylePr w:type="lastRow">
      <w:rPr>
        <w:b/>
        <w:bCs/>
      </w:rPr>
      <w:tblPr/>
      <w:tcPr>
        <w:tcBorders>
          <w:top w:val="single" w:sz="18" w:space="0" w:color="37EFBD" w:themeColor="accent4" w:themeTint="BF"/>
        </w:tcBorders>
      </w:tcPr>
    </w:tblStylePr>
    <w:tblStylePr w:type="firstCol">
      <w:rPr>
        <w:b/>
        <w:bCs/>
      </w:rPr>
    </w:tblStylePr>
    <w:tblStylePr w:type="lastCol">
      <w:rPr>
        <w:b/>
        <w:bCs/>
      </w:r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FFCF40" w:themeColor="accent5" w:themeTint="BF"/>
        <w:left w:val="single" w:sz="8" w:space="0" w:color="FFCF40" w:themeColor="accent5" w:themeTint="BF"/>
        <w:bottom w:val="single" w:sz="8" w:space="0" w:color="FFCF40" w:themeColor="accent5" w:themeTint="BF"/>
        <w:right w:val="single" w:sz="8" w:space="0" w:color="FFCF40" w:themeColor="accent5" w:themeTint="BF"/>
        <w:insideH w:val="single" w:sz="8" w:space="0" w:color="FFCF40" w:themeColor="accent5" w:themeTint="BF"/>
        <w:insideV w:val="single" w:sz="8" w:space="0" w:color="FFCF40" w:themeColor="accent5" w:themeTint="BF"/>
      </w:tblBorders>
      <w:tblCellMar>
        <w:top w:w="0" w:type="dxa"/>
        <w:left w:w="108" w:type="dxa"/>
        <w:bottom w:w="0" w:type="dxa"/>
        <w:right w:w="108" w:type="dxa"/>
      </w:tblCellMar>
    </w:tblPr>
    <w:tcPr>
      <w:shd w:val="clear" w:color="auto" w:fill="FFEFC0" w:themeFill="accent5" w:themeFillTint="3F"/>
    </w:tcPr>
    <w:tblStylePr w:type="firstRow">
      <w:rPr>
        <w:b/>
        <w:bCs/>
      </w:rPr>
    </w:tblStylePr>
    <w:tblStylePr w:type="lastRow">
      <w:rPr>
        <w:b/>
        <w:bCs/>
      </w:rPr>
      <w:tblPr/>
      <w:tcPr>
        <w:tcBorders>
          <w:top w:val="single" w:sz="18" w:space="0" w:color="FFCF40" w:themeColor="accent5" w:themeTint="BF"/>
        </w:tcBorders>
      </w:tcPr>
    </w:tblStylePr>
    <w:tblStylePr w:type="firstCol">
      <w:rPr>
        <w:b/>
        <w:bCs/>
      </w:rPr>
    </w:tblStylePr>
    <w:tblStylePr w:type="lastCol">
      <w:rPr>
        <w:b/>
        <w:bCs/>
      </w:rPr>
    </w:tblStylePr>
    <w:tblStylePr w:type="band1Vert">
      <w:tblPr/>
      <w:tcPr>
        <w:shd w:val="clear" w:color="auto" w:fill="FFDF80" w:themeFill="accent5" w:themeFillTint="7F"/>
      </w:tcPr>
    </w:tblStylePr>
    <w:tblStylePr w:type="band1Horz">
      <w:tblPr/>
      <w:tcPr>
        <w:shd w:val="clear" w:color="auto" w:fill="FFDF80"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BF96DF" w:themeColor="accent6" w:themeTint="BF"/>
        <w:left w:val="single" w:sz="8" w:space="0" w:color="BF96DF" w:themeColor="accent6" w:themeTint="BF"/>
        <w:bottom w:val="single" w:sz="8" w:space="0" w:color="BF96DF" w:themeColor="accent6" w:themeTint="BF"/>
        <w:right w:val="single" w:sz="8" w:space="0" w:color="BF96DF" w:themeColor="accent6" w:themeTint="BF"/>
        <w:insideH w:val="single" w:sz="8" w:space="0" w:color="BF96DF" w:themeColor="accent6" w:themeTint="BF"/>
        <w:insideV w:val="single" w:sz="8" w:space="0" w:color="BF96DF" w:themeColor="accent6" w:themeTint="BF"/>
      </w:tblBorders>
      <w:tblCellMar>
        <w:top w:w="0" w:type="dxa"/>
        <w:left w:w="108" w:type="dxa"/>
        <w:bottom w:w="0" w:type="dxa"/>
        <w:right w:w="108" w:type="dxa"/>
      </w:tblCellMar>
    </w:tblPr>
    <w:tcPr>
      <w:shd w:val="clear" w:color="auto" w:fill="EADCF4" w:themeFill="accent6" w:themeFillTint="3F"/>
    </w:tcPr>
    <w:tblStylePr w:type="firstRow">
      <w:rPr>
        <w:b/>
        <w:bCs/>
      </w:rPr>
    </w:tblStylePr>
    <w:tblStylePr w:type="lastRow">
      <w:rPr>
        <w:b/>
        <w:bCs/>
      </w:rPr>
      <w:tblPr/>
      <w:tcPr>
        <w:tcBorders>
          <w:top w:val="single" w:sz="18" w:space="0" w:color="BF96DF" w:themeColor="accent6" w:themeTint="BF"/>
        </w:tcBorders>
      </w:tcPr>
    </w:tblStylePr>
    <w:tblStylePr w:type="firstCol">
      <w:rPr>
        <w:b/>
        <w:bCs/>
      </w:rPr>
    </w:tblStylePr>
    <w:tblStylePr w:type="lastCol">
      <w:rPr>
        <w:b/>
        <w:bCs/>
      </w:rPr>
    </w:tblStylePr>
    <w:tblStylePr w:type="band1Vert">
      <w:tblPr/>
      <w:tcPr>
        <w:shd w:val="clear" w:color="auto" w:fill="D5B9EA" w:themeFill="accent6" w:themeFillTint="7F"/>
      </w:tcPr>
    </w:tblStylePr>
    <w:tblStylePr w:type="band1Horz">
      <w:tblPr/>
      <w:tcPr>
        <w:shd w:val="clear" w:color="auto" w:fill="D5B9EA"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DF2E2F" w:themeColor="accent1"/>
        <w:left w:val="single" w:sz="8" w:space="0" w:color="DF2E2F" w:themeColor="accent1"/>
        <w:bottom w:val="single" w:sz="8" w:space="0" w:color="DF2E2F" w:themeColor="accent1"/>
        <w:right w:val="single" w:sz="8" w:space="0" w:color="DF2E2F" w:themeColor="accent1"/>
        <w:insideH w:val="single" w:sz="8" w:space="0" w:color="DF2E2F" w:themeColor="accent1"/>
        <w:insideV w:val="single" w:sz="8" w:space="0" w:color="DF2E2F" w:themeColor="accent1"/>
      </w:tblBorders>
      <w:tblCellMar>
        <w:top w:w="0" w:type="dxa"/>
        <w:left w:w="108" w:type="dxa"/>
        <w:bottom w:w="0" w:type="dxa"/>
        <w:right w:w="108" w:type="dxa"/>
      </w:tblCellMar>
    </w:tblPr>
    <w:tcPr>
      <w:shd w:val="clear" w:color="auto" w:fill="F7CBCB" w:themeFill="accent1" w:themeFillTint="3F"/>
    </w:tcPr>
    <w:tblStylePr w:type="firstRow">
      <w:rPr>
        <w:b/>
        <w:bCs/>
        <w:color w:val="000000" w:themeColor="text1"/>
      </w:rPr>
      <w:tblPr/>
      <w:tcPr>
        <w:shd w:val="clear" w:color="auto" w:fill="FCEA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5D5" w:themeFill="accent1" w:themeFillTint="33"/>
      </w:tcPr>
    </w:tblStylePr>
    <w:tblStylePr w:type="band1Vert">
      <w:tblPr/>
      <w:tcPr>
        <w:shd w:val="clear" w:color="auto" w:fill="EF9697" w:themeFill="accent1" w:themeFillTint="7F"/>
      </w:tcPr>
    </w:tblStylePr>
    <w:tblStylePr w:type="band1Horz">
      <w:tblPr/>
      <w:tcPr>
        <w:tcBorders>
          <w:insideH w:val="single" w:sz="6" w:space="0" w:color="DF2E2F" w:themeColor="accent1"/>
          <w:insideV w:val="single" w:sz="6" w:space="0" w:color="DF2E2F" w:themeColor="accent1"/>
        </w:tcBorders>
        <w:shd w:val="clear" w:color="auto" w:fill="EF9697"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FF3300" w:themeColor="accent2"/>
        <w:left w:val="single" w:sz="8" w:space="0" w:color="FF3300" w:themeColor="accent2"/>
        <w:bottom w:val="single" w:sz="8" w:space="0" w:color="FF3300" w:themeColor="accent2"/>
        <w:right w:val="single" w:sz="8" w:space="0" w:color="FF3300" w:themeColor="accent2"/>
        <w:insideH w:val="single" w:sz="8" w:space="0" w:color="FF3300" w:themeColor="accent2"/>
        <w:insideV w:val="single" w:sz="8" w:space="0" w:color="FF3300" w:themeColor="accent2"/>
      </w:tblBorders>
      <w:tblCellMar>
        <w:top w:w="0" w:type="dxa"/>
        <w:left w:w="108" w:type="dxa"/>
        <w:bottom w:w="0" w:type="dxa"/>
        <w:right w:w="108" w:type="dxa"/>
      </w:tblCellMar>
    </w:tblPr>
    <w:tcPr>
      <w:shd w:val="clear" w:color="auto" w:fill="FFCCC0" w:themeFill="accent2" w:themeFillTint="3F"/>
    </w:tcPr>
    <w:tblStylePr w:type="firstRow">
      <w:rPr>
        <w:b/>
        <w:bCs/>
        <w:color w:val="000000" w:themeColor="text1"/>
      </w:rPr>
      <w:tblPr/>
      <w:tcPr>
        <w:shd w:val="clear" w:color="auto" w:fill="FFEB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6CC" w:themeFill="accent2" w:themeFillTint="33"/>
      </w:tcPr>
    </w:tblStylePr>
    <w:tblStylePr w:type="band1Vert">
      <w:tblPr/>
      <w:tcPr>
        <w:shd w:val="clear" w:color="auto" w:fill="FF9980" w:themeFill="accent2" w:themeFillTint="7F"/>
      </w:tcPr>
    </w:tblStylePr>
    <w:tblStylePr w:type="band1Horz">
      <w:tblPr/>
      <w:tcPr>
        <w:tcBorders>
          <w:insideH w:val="single" w:sz="6" w:space="0" w:color="FF3300" w:themeColor="accent2"/>
          <w:insideV w:val="single" w:sz="6" w:space="0" w:color="FF3300" w:themeColor="accent2"/>
        </w:tcBorders>
        <w:shd w:val="clear" w:color="auto" w:fill="FF9980"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0B9B74" w:themeColor="accent3"/>
        <w:left w:val="single" w:sz="8" w:space="0" w:color="0B9B74" w:themeColor="accent3"/>
        <w:bottom w:val="single" w:sz="8" w:space="0" w:color="0B9B74" w:themeColor="accent3"/>
        <w:right w:val="single" w:sz="8" w:space="0" w:color="0B9B74" w:themeColor="accent3"/>
        <w:insideH w:val="single" w:sz="8" w:space="0" w:color="0B9B74" w:themeColor="accent3"/>
        <w:insideV w:val="single" w:sz="8" w:space="0" w:color="0B9B74" w:themeColor="accent3"/>
      </w:tblBorders>
      <w:tblCellMar>
        <w:top w:w="0" w:type="dxa"/>
        <w:left w:w="108" w:type="dxa"/>
        <w:bottom w:w="0" w:type="dxa"/>
        <w:right w:w="108" w:type="dxa"/>
      </w:tblCellMar>
    </w:tblPr>
    <w:tcPr>
      <w:shd w:val="clear" w:color="auto" w:fill="AFF9E5" w:themeFill="accent3" w:themeFillTint="3F"/>
    </w:tcPr>
    <w:tblStylePr w:type="firstRow">
      <w:rPr>
        <w:b/>
        <w:bCs/>
        <w:color w:val="000000" w:themeColor="text1"/>
      </w:rPr>
      <w:tblPr/>
      <w:tcPr>
        <w:shd w:val="clear" w:color="auto" w:fill="DFFC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FAEA" w:themeFill="accent3" w:themeFillTint="33"/>
      </w:tcPr>
    </w:tblStylePr>
    <w:tblStylePr w:type="band1Vert">
      <w:tblPr/>
      <w:tcPr>
        <w:shd w:val="clear" w:color="auto" w:fill="5FF3CA" w:themeFill="accent3" w:themeFillTint="7F"/>
      </w:tcPr>
    </w:tblStylePr>
    <w:tblStylePr w:type="band1Horz">
      <w:tblPr/>
      <w:tcPr>
        <w:tcBorders>
          <w:insideH w:val="single" w:sz="6" w:space="0" w:color="0B9B74" w:themeColor="accent3"/>
          <w:insideV w:val="single" w:sz="6" w:space="0" w:color="0B9B74" w:themeColor="accent3"/>
        </w:tcBorders>
        <w:shd w:val="clear" w:color="auto" w:fill="5FF3CA"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10CF9B" w:themeColor="accent4"/>
        <w:left w:val="single" w:sz="8" w:space="0" w:color="10CF9B" w:themeColor="accent4"/>
        <w:bottom w:val="single" w:sz="8" w:space="0" w:color="10CF9B" w:themeColor="accent4"/>
        <w:right w:val="single" w:sz="8" w:space="0" w:color="10CF9B" w:themeColor="accent4"/>
        <w:insideH w:val="single" w:sz="8" w:space="0" w:color="10CF9B" w:themeColor="accent4"/>
        <w:insideV w:val="single" w:sz="8" w:space="0" w:color="10CF9B" w:themeColor="accent4"/>
      </w:tblBorders>
      <w:tblCellMar>
        <w:top w:w="0" w:type="dxa"/>
        <w:left w:w="108" w:type="dxa"/>
        <w:bottom w:w="0" w:type="dxa"/>
        <w:right w:w="108" w:type="dxa"/>
      </w:tblCellMar>
    </w:tblPr>
    <w:tcPr>
      <w:shd w:val="clear" w:color="auto" w:fill="BDFAE9" w:themeFill="accent4" w:themeFillTint="3F"/>
    </w:tcPr>
    <w:tblStylePr w:type="firstRow">
      <w:rPr>
        <w:b/>
        <w:bCs/>
        <w:color w:val="000000" w:themeColor="text1"/>
      </w:rPr>
      <w:tblPr/>
      <w:tcPr>
        <w:shd w:val="clear" w:color="auto" w:fill="E4FD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BED" w:themeFill="accent4" w:themeFillTint="33"/>
      </w:tcPr>
    </w:tblStylePr>
    <w:tblStylePr w:type="band1Vert">
      <w:tblPr/>
      <w:tcPr>
        <w:shd w:val="clear" w:color="auto" w:fill="7AF4D3" w:themeFill="accent4" w:themeFillTint="7F"/>
      </w:tcPr>
    </w:tblStylePr>
    <w:tblStylePr w:type="band1Horz">
      <w:tblPr/>
      <w:tcPr>
        <w:tcBorders>
          <w:insideH w:val="single" w:sz="6" w:space="0" w:color="10CF9B" w:themeColor="accent4"/>
          <w:insideV w:val="single" w:sz="6" w:space="0" w:color="10CF9B" w:themeColor="accent4"/>
        </w:tcBorders>
        <w:shd w:val="clear" w:color="auto" w:fill="7AF4D3"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FFC000" w:themeColor="accent5"/>
        <w:left w:val="single" w:sz="8" w:space="0" w:color="FFC000" w:themeColor="accent5"/>
        <w:bottom w:val="single" w:sz="8" w:space="0" w:color="FFC000" w:themeColor="accent5"/>
        <w:right w:val="single" w:sz="8" w:space="0" w:color="FFC000" w:themeColor="accent5"/>
        <w:insideH w:val="single" w:sz="8" w:space="0" w:color="FFC000" w:themeColor="accent5"/>
        <w:insideV w:val="single" w:sz="8" w:space="0" w:color="FFC000" w:themeColor="accent5"/>
      </w:tblBorders>
      <w:tblCellMar>
        <w:top w:w="0" w:type="dxa"/>
        <w:left w:w="108" w:type="dxa"/>
        <w:bottom w:w="0" w:type="dxa"/>
        <w:right w:w="108" w:type="dxa"/>
      </w:tblCellMar>
    </w:tblPr>
    <w:tcPr>
      <w:shd w:val="clear" w:color="auto" w:fill="FFEFC0" w:themeFill="accent5" w:themeFillTint="3F"/>
    </w:tcPr>
    <w:tblStylePr w:type="firstRow">
      <w:rPr>
        <w:b/>
        <w:bCs/>
        <w:color w:val="000000" w:themeColor="text1"/>
      </w:rPr>
      <w:tblPr/>
      <w:tcPr>
        <w:shd w:val="clear" w:color="auto" w:fill="FFF8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5" w:themeFillTint="33"/>
      </w:tcPr>
    </w:tblStylePr>
    <w:tblStylePr w:type="band1Vert">
      <w:tblPr/>
      <w:tcPr>
        <w:shd w:val="clear" w:color="auto" w:fill="FFDF80" w:themeFill="accent5" w:themeFillTint="7F"/>
      </w:tcPr>
    </w:tblStylePr>
    <w:tblStylePr w:type="band1Horz">
      <w:tblPr/>
      <w:tcPr>
        <w:tcBorders>
          <w:insideH w:val="single" w:sz="6" w:space="0" w:color="FFC000" w:themeColor="accent5"/>
          <w:insideV w:val="single" w:sz="6" w:space="0" w:color="FFC000" w:themeColor="accent5"/>
        </w:tcBorders>
        <w:shd w:val="clear" w:color="auto" w:fill="FFDF80"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s-ES_tradnl" w:eastAsia="es-ES_tradnl"/>
    </w:rPr>
    <w:tblPr>
      <w:tblStyleRowBandSize w:val="1"/>
      <w:tblStyleColBandSize w:val="1"/>
      <w:tblInd w:w="0" w:type="dxa"/>
      <w:tblBorders>
        <w:top w:val="single" w:sz="8" w:space="0" w:color="AB73D5" w:themeColor="accent6"/>
        <w:left w:val="single" w:sz="8" w:space="0" w:color="AB73D5" w:themeColor="accent6"/>
        <w:bottom w:val="single" w:sz="8" w:space="0" w:color="AB73D5" w:themeColor="accent6"/>
        <w:right w:val="single" w:sz="8" w:space="0" w:color="AB73D5" w:themeColor="accent6"/>
        <w:insideH w:val="single" w:sz="8" w:space="0" w:color="AB73D5" w:themeColor="accent6"/>
        <w:insideV w:val="single" w:sz="8" w:space="0" w:color="AB73D5" w:themeColor="accent6"/>
      </w:tblBorders>
      <w:tblCellMar>
        <w:top w:w="0" w:type="dxa"/>
        <w:left w:w="108" w:type="dxa"/>
        <w:bottom w:w="0" w:type="dxa"/>
        <w:right w:w="108" w:type="dxa"/>
      </w:tblCellMar>
    </w:tblPr>
    <w:tcPr>
      <w:shd w:val="clear" w:color="auto" w:fill="EADCF4" w:themeFill="accent6" w:themeFillTint="3F"/>
    </w:tcPr>
    <w:tblStylePr w:type="firstRow">
      <w:rPr>
        <w:b/>
        <w:bCs/>
        <w:color w:val="000000" w:themeColor="text1"/>
      </w:rPr>
      <w:tblPr/>
      <w:tcPr>
        <w:shd w:val="clear" w:color="auto" w:fill="F6F1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2F6" w:themeFill="accent6" w:themeFillTint="33"/>
      </w:tcPr>
    </w:tblStylePr>
    <w:tblStylePr w:type="band1Vert">
      <w:tblPr/>
      <w:tcPr>
        <w:shd w:val="clear" w:color="auto" w:fill="D5B9EA" w:themeFill="accent6" w:themeFillTint="7F"/>
      </w:tcPr>
    </w:tblStylePr>
    <w:tblStylePr w:type="band1Horz">
      <w:tblPr/>
      <w:tcPr>
        <w:tcBorders>
          <w:insideH w:val="single" w:sz="6" w:space="0" w:color="AB73D5" w:themeColor="accent6"/>
          <w:insideV w:val="single" w:sz="6" w:space="0" w:color="AB73D5" w:themeColor="accent6"/>
        </w:tcBorders>
        <w:shd w:val="clear" w:color="auto" w:fill="D5B9EA"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7CB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2E2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2E2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2E2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2E2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69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697"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CC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3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3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3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3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9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980"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FF9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9B7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9B7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9B7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9B7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FF3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FF3CA"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DFA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CF9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CF9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CF9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F4D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F4D3"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ADC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73D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73D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73D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73D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B9E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B9EA"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DF2E2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1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E1A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E1A1B" w:themeFill="accent1" w:themeFillShade="BF"/>
      </w:tcPr>
    </w:tblStylePr>
    <w:tblStylePr w:type="band1Vert">
      <w:tblPr/>
      <w:tcPr>
        <w:tcBorders>
          <w:top w:val="nil"/>
          <w:left w:val="nil"/>
          <w:bottom w:val="nil"/>
          <w:right w:val="nil"/>
          <w:insideH w:val="nil"/>
          <w:insideV w:val="nil"/>
        </w:tcBorders>
        <w:shd w:val="clear" w:color="auto" w:fill="AE1A1B" w:themeFill="accent1" w:themeFillShade="BF"/>
      </w:tcPr>
    </w:tblStylePr>
    <w:tblStylePr w:type="band1Horz">
      <w:tblPr/>
      <w:tcPr>
        <w:tcBorders>
          <w:top w:val="nil"/>
          <w:left w:val="nil"/>
          <w:bottom w:val="nil"/>
          <w:right w:val="nil"/>
          <w:insideH w:val="nil"/>
          <w:insideV w:val="nil"/>
        </w:tcBorders>
        <w:shd w:val="clear" w:color="auto" w:fill="AE1A1B"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F3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26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2600" w:themeFill="accent2" w:themeFillShade="BF"/>
      </w:tcPr>
    </w:tblStylePr>
    <w:tblStylePr w:type="band1Vert">
      <w:tblPr/>
      <w:tcPr>
        <w:tcBorders>
          <w:top w:val="nil"/>
          <w:left w:val="nil"/>
          <w:bottom w:val="nil"/>
          <w:right w:val="nil"/>
          <w:insideH w:val="nil"/>
          <w:insideV w:val="nil"/>
        </w:tcBorders>
        <w:shd w:val="clear" w:color="auto" w:fill="BF2600" w:themeFill="accent2" w:themeFillShade="BF"/>
      </w:tcPr>
    </w:tblStylePr>
    <w:tblStylePr w:type="band1Horz">
      <w:tblPr/>
      <w:tcPr>
        <w:tcBorders>
          <w:top w:val="nil"/>
          <w:left w:val="nil"/>
          <w:bottom w:val="nil"/>
          <w:right w:val="nil"/>
          <w:insideH w:val="nil"/>
          <w:insideV w:val="nil"/>
        </w:tcBorders>
        <w:shd w:val="clear" w:color="auto" w:fill="BF2600"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0B9B7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4D3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745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7456" w:themeFill="accent3" w:themeFillShade="BF"/>
      </w:tcPr>
    </w:tblStylePr>
    <w:tblStylePr w:type="band1Vert">
      <w:tblPr/>
      <w:tcPr>
        <w:tcBorders>
          <w:top w:val="nil"/>
          <w:left w:val="nil"/>
          <w:bottom w:val="nil"/>
          <w:right w:val="nil"/>
          <w:insideH w:val="nil"/>
          <w:insideV w:val="nil"/>
        </w:tcBorders>
        <w:shd w:val="clear" w:color="auto" w:fill="087456" w:themeFill="accent3" w:themeFillShade="BF"/>
      </w:tcPr>
    </w:tblStylePr>
    <w:tblStylePr w:type="band1Horz">
      <w:tblPr/>
      <w:tcPr>
        <w:tcBorders>
          <w:top w:val="nil"/>
          <w:left w:val="nil"/>
          <w:bottom w:val="nil"/>
          <w:right w:val="nil"/>
          <w:insideH w:val="nil"/>
          <w:insideV w:val="nil"/>
        </w:tcBorders>
        <w:shd w:val="clear" w:color="auto" w:fill="087456"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10CF9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67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9A7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9A73" w:themeFill="accent4" w:themeFillShade="BF"/>
      </w:tcPr>
    </w:tblStylePr>
    <w:tblStylePr w:type="band1Vert">
      <w:tblPr/>
      <w:tcPr>
        <w:tcBorders>
          <w:top w:val="nil"/>
          <w:left w:val="nil"/>
          <w:bottom w:val="nil"/>
          <w:right w:val="nil"/>
          <w:insideH w:val="nil"/>
          <w:insideV w:val="nil"/>
        </w:tcBorders>
        <w:shd w:val="clear" w:color="auto" w:fill="0C9A73" w:themeFill="accent4" w:themeFillShade="BF"/>
      </w:tcPr>
    </w:tblStylePr>
    <w:tblStylePr w:type="band1Horz">
      <w:tblPr/>
      <w:tcPr>
        <w:tcBorders>
          <w:top w:val="nil"/>
          <w:left w:val="nil"/>
          <w:bottom w:val="nil"/>
          <w:right w:val="nil"/>
          <w:insideH w:val="nil"/>
          <w:insideV w:val="nil"/>
        </w:tcBorders>
        <w:shd w:val="clear" w:color="auto" w:fill="0C9A73"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FC0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5" w:themeFillShade="BF"/>
      </w:tcPr>
    </w:tblStylePr>
    <w:tblStylePr w:type="band1Vert">
      <w:tblPr/>
      <w:tcPr>
        <w:tcBorders>
          <w:top w:val="nil"/>
          <w:left w:val="nil"/>
          <w:bottom w:val="nil"/>
          <w:right w:val="nil"/>
          <w:insideH w:val="nil"/>
          <w:insideV w:val="nil"/>
        </w:tcBorders>
        <w:shd w:val="clear" w:color="auto" w:fill="BF8F00" w:themeFill="accent5" w:themeFillShade="BF"/>
      </w:tcPr>
    </w:tblStylePr>
    <w:tblStylePr w:type="band1Horz">
      <w:tblPr/>
      <w:tcPr>
        <w:tcBorders>
          <w:top w:val="nil"/>
          <w:left w:val="nil"/>
          <w:bottom w:val="nil"/>
          <w:right w:val="nil"/>
          <w:insideH w:val="nil"/>
          <w:insideV w:val="nil"/>
        </w:tcBorders>
        <w:shd w:val="clear" w:color="auto" w:fill="BF8F00"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AB73D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257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338B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338BC" w:themeFill="accent6" w:themeFillShade="BF"/>
      </w:tcPr>
    </w:tblStylePr>
    <w:tblStylePr w:type="band1Vert">
      <w:tblPr/>
      <w:tcPr>
        <w:tcBorders>
          <w:top w:val="nil"/>
          <w:left w:val="nil"/>
          <w:bottom w:val="nil"/>
          <w:right w:val="nil"/>
          <w:insideH w:val="nil"/>
          <w:insideV w:val="nil"/>
        </w:tcBorders>
        <w:shd w:val="clear" w:color="auto" w:fill="8338BC" w:themeFill="accent6" w:themeFillShade="BF"/>
      </w:tcPr>
    </w:tblStylePr>
    <w:tblStylePr w:type="band1Horz">
      <w:tblPr/>
      <w:tcPr>
        <w:tcBorders>
          <w:top w:val="nil"/>
          <w:left w:val="nil"/>
          <w:bottom w:val="nil"/>
          <w:right w:val="nil"/>
          <w:insideH w:val="nil"/>
          <w:insideV w:val="nil"/>
        </w:tcBorders>
        <w:shd w:val="clear" w:color="auto" w:fill="8338BC"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FF33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3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FF3300" w:themeColor="accent2"/>
        <w:left w:val="single" w:sz="4" w:space="0" w:color="DF2E2F" w:themeColor="accent1"/>
        <w:bottom w:val="single" w:sz="4" w:space="0" w:color="DF2E2F" w:themeColor="accent1"/>
        <w:right w:val="single" w:sz="4" w:space="0" w:color="DF2E2F"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AEA" w:themeFill="accent1" w:themeFillTint="19"/>
    </w:tcPr>
    <w:tblStylePr w:type="firstRow">
      <w:rPr>
        <w:b/>
        <w:bCs/>
      </w:rPr>
      <w:tblPr/>
      <w:tcPr>
        <w:tcBorders>
          <w:top w:val="nil"/>
          <w:left w:val="nil"/>
          <w:bottom w:val="single" w:sz="24" w:space="0" w:color="FF3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1515" w:themeFill="accent1" w:themeFillShade="99"/>
      </w:tcPr>
    </w:tblStylePr>
    <w:tblStylePr w:type="firstCol">
      <w:rPr>
        <w:color w:val="FFFFFF" w:themeColor="background1"/>
      </w:rPr>
      <w:tblPr/>
      <w:tcPr>
        <w:tcBorders>
          <w:top w:val="nil"/>
          <w:left w:val="nil"/>
          <w:bottom w:val="nil"/>
          <w:right w:val="nil"/>
          <w:insideH w:val="single" w:sz="4" w:space="0" w:color="8B1515" w:themeColor="accent1" w:themeShade="99"/>
          <w:insideV w:val="nil"/>
        </w:tcBorders>
        <w:shd w:val="clear" w:color="auto" w:fill="8B151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B1515" w:themeFill="accent1" w:themeFillShade="99"/>
      </w:tcPr>
    </w:tblStylePr>
    <w:tblStylePr w:type="band1Vert">
      <w:tblPr/>
      <w:tcPr>
        <w:shd w:val="clear" w:color="auto" w:fill="F2ABAB" w:themeFill="accent1" w:themeFillTint="66"/>
      </w:tcPr>
    </w:tblStylePr>
    <w:tblStylePr w:type="band1Horz">
      <w:tblPr/>
      <w:tcPr>
        <w:shd w:val="clear" w:color="auto" w:fill="EF9697"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FF3300" w:themeColor="accent2"/>
        <w:left w:val="single" w:sz="4" w:space="0" w:color="FF3300" w:themeColor="accent2"/>
        <w:bottom w:val="single" w:sz="4" w:space="0" w:color="FF3300" w:themeColor="accent2"/>
        <w:right w:val="single" w:sz="4" w:space="0" w:color="FF3300"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BE6" w:themeFill="accent2" w:themeFillTint="19"/>
    </w:tcPr>
    <w:tblStylePr w:type="firstRow">
      <w:rPr>
        <w:b/>
        <w:bCs/>
      </w:rPr>
      <w:tblPr/>
      <w:tcPr>
        <w:tcBorders>
          <w:top w:val="nil"/>
          <w:left w:val="nil"/>
          <w:bottom w:val="single" w:sz="24" w:space="0" w:color="FF3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E00" w:themeFill="accent2" w:themeFillShade="99"/>
      </w:tcPr>
    </w:tblStylePr>
    <w:tblStylePr w:type="firstCol">
      <w:rPr>
        <w:color w:val="FFFFFF" w:themeColor="background1"/>
      </w:rPr>
      <w:tblPr/>
      <w:tcPr>
        <w:tcBorders>
          <w:top w:val="nil"/>
          <w:left w:val="nil"/>
          <w:bottom w:val="nil"/>
          <w:right w:val="nil"/>
          <w:insideH w:val="single" w:sz="4" w:space="0" w:color="991E00" w:themeColor="accent2" w:themeShade="99"/>
          <w:insideV w:val="nil"/>
        </w:tcBorders>
        <w:shd w:val="clear" w:color="auto" w:fill="991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1E00" w:themeFill="accent2" w:themeFillShade="99"/>
      </w:tcPr>
    </w:tblStylePr>
    <w:tblStylePr w:type="band1Vert">
      <w:tblPr/>
      <w:tcPr>
        <w:shd w:val="clear" w:color="auto" w:fill="FFAD99" w:themeFill="accent2" w:themeFillTint="66"/>
      </w:tcPr>
    </w:tblStylePr>
    <w:tblStylePr w:type="band1Horz">
      <w:tblPr/>
      <w:tcPr>
        <w:shd w:val="clear" w:color="auto" w:fill="FF9980"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10CF9B" w:themeColor="accent4"/>
        <w:left w:val="single" w:sz="4" w:space="0" w:color="0B9B74" w:themeColor="accent3"/>
        <w:bottom w:val="single" w:sz="4" w:space="0" w:color="0B9B74" w:themeColor="accent3"/>
        <w:right w:val="single" w:sz="4" w:space="0" w:color="0B9B74"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FCF4" w:themeFill="accent3" w:themeFillTint="19"/>
    </w:tcPr>
    <w:tblStylePr w:type="firstRow">
      <w:rPr>
        <w:b/>
        <w:bCs/>
      </w:rPr>
      <w:tblPr/>
      <w:tcPr>
        <w:tcBorders>
          <w:top w:val="nil"/>
          <w:left w:val="nil"/>
          <w:bottom w:val="single" w:sz="24" w:space="0" w:color="10CF9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5C45" w:themeFill="accent3" w:themeFillShade="99"/>
      </w:tcPr>
    </w:tblStylePr>
    <w:tblStylePr w:type="firstCol">
      <w:rPr>
        <w:color w:val="FFFFFF" w:themeColor="background1"/>
      </w:rPr>
      <w:tblPr/>
      <w:tcPr>
        <w:tcBorders>
          <w:top w:val="nil"/>
          <w:left w:val="nil"/>
          <w:bottom w:val="nil"/>
          <w:right w:val="nil"/>
          <w:insideH w:val="single" w:sz="4" w:space="0" w:color="065C45" w:themeColor="accent3" w:themeShade="99"/>
          <w:insideV w:val="nil"/>
        </w:tcBorders>
        <w:shd w:val="clear" w:color="auto" w:fill="065C4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5C45" w:themeFill="accent3" w:themeFillShade="99"/>
      </w:tcPr>
    </w:tblStylePr>
    <w:tblStylePr w:type="band1Vert">
      <w:tblPr/>
      <w:tcPr>
        <w:shd w:val="clear" w:color="auto" w:fill="7EF6D5" w:themeFill="accent3" w:themeFillTint="66"/>
      </w:tcPr>
    </w:tblStylePr>
    <w:tblStylePr w:type="band1Horz">
      <w:tblPr/>
      <w:tcPr>
        <w:shd w:val="clear" w:color="auto" w:fill="5FF3CA"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0B9B74" w:themeColor="accent3"/>
        <w:left w:val="single" w:sz="4" w:space="0" w:color="10CF9B" w:themeColor="accent4"/>
        <w:bottom w:val="single" w:sz="4" w:space="0" w:color="10CF9B" w:themeColor="accent4"/>
        <w:right w:val="single" w:sz="4" w:space="0" w:color="10CF9B"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4FDF6" w:themeFill="accent4" w:themeFillTint="19"/>
    </w:tcPr>
    <w:tblStylePr w:type="firstRow">
      <w:rPr>
        <w:b/>
        <w:bCs/>
      </w:rPr>
      <w:tblPr/>
      <w:tcPr>
        <w:tcBorders>
          <w:top w:val="nil"/>
          <w:left w:val="nil"/>
          <w:bottom w:val="single" w:sz="24" w:space="0" w:color="0B9B7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7C5C" w:themeFill="accent4" w:themeFillShade="99"/>
      </w:tcPr>
    </w:tblStylePr>
    <w:tblStylePr w:type="firstCol">
      <w:rPr>
        <w:color w:val="FFFFFF" w:themeColor="background1"/>
      </w:rPr>
      <w:tblPr/>
      <w:tcPr>
        <w:tcBorders>
          <w:top w:val="nil"/>
          <w:left w:val="nil"/>
          <w:bottom w:val="nil"/>
          <w:right w:val="nil"/>
          <w:insideH w:val="single" w:sz="4" w:space="0" w:color="097C5C" w:themeColor="accent4" w:themeShade="99"/>
          <w:insideV w:val="nil"/>
        </w:tcBorders>
        <w:shd w:val="clear" w:color="auto" w:fill="097C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7C5C" w:themeFill="accent4" w:themeFillShade="99"/>
      </w:tcPr>
    </w:tblStylePr>
    <w:tblStylePr w:type="band1Vert">
      <w:tblPr/>
      <w:tcPr>
        <w:shd w:val="clear" w:color="auto" w:fill="94F6DB" w:themeFill="accent4" w:themeFillTint="66"/>
      </w:tcPr>
    </w:tblStylePr>
    <w:tblStylePr w:type="band1Horz">
      <w:tblPr/>
      <w:tcPr>
        <w:shd w:val="clear" w:color="auto" w:fill="7AF4D3"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AB73D5" w:themeColor="accent6"/>
        <w:left w:val="single" w:sz="4" w:space="0" w:color="FFC000" w:themeColor="accent5"/>
        <w:bottom w:val="single" w:sz="4" w:space="0" w:color="FFC000" w:themeColor="accent5"/>
        <w:right w:val="single" w:sz="4" w:space="0" w:color="FFC0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5" w:themeFillTint="19"/>
    </w:tcPr>
    <w:tblStylePr w:type="firstRow">
      <w:rPr>
        <w:b/>
        <w:bCs/>
      </w:rPr>
      <w:tblPr/>
      <w:tcPr>
        <w:tcBorders>
          <w:top w:val="nil"/>
          <w:left w:val="nil"/>
          <w:bottom w:val="single" w:sz="24" w:space="0" w:color="AB73D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5" w:themeFillShade="99"/>
      </w:tcPr>
    </w:tblStylePr>
    <w:tblStylePr w:type="firstCol">
      <w:rPr>
        <w:color w:val="FFFFFF" w:themeColor="background1"/>
      </w:rPr>
      <w:tblPr/>
      <w:tcPr>
        <w:tcBorders>
          <w:top w:val="nil"/>
          <w:left w:val="nil"/>
          <w:bottom w:val="nil"/>
          <w:right w:val="nil"/>
          <w:insideH w:val="single" w:sz="4" w:space="0" w:color="997300" w:themeColor="accent5" w:themeShade="99"/>
          <w:insideV w:val="nil"/>
        </w:tcBorders>
        <w:shd w:val="clear" w:color="auto" w:fill="997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5" w:themeFillShade="99"/>
      </w:tcPr>
    </w:tblStylePr>
    <w:tblStylePr w:type="band1Vert">
      <w:tblPr/>
      <w:tcPr>
        <w:shd w:val="clear" w:color="auto" w:fill="FFE599" w:themeFill="accent5" w:themeFillTint="66"/>
      </w:tcPr>
    </w:tblStylePr>
    <w:tblStylePr w:type="band1Horz">
      <w:tblPr/>
      <w:tcPr>
        <w:shd w:val="clear" w:color="auto" w:fill="FFDF80"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s-ES_tradnl" w:eastAsia="es-ES_tradnl"/>
    </w:rPr>
    <w:tblPr>
      <w:tblStyleRowBandSize w:val="1"/>
      <w:tblStyleColBandSize w:val="1"/>
      <w:tblInd w:w="0" w:type="dxa"/>
      <w:tblBorders>
        <w:top w:val="single" w:sz="24" w:space="0" w:color="FFC000" w:themeColor="accent5"/>
        <w:left w:val="single" w:sz="4" w:space="0" w:color="AB73D5" w:themeColor="accent6"/>
        <w:bottom w:val="single" w:sz="4" w:space="0" w:color="AB73D5" w:themeColor="accent6"/>
        <w:right w:val="single" w:sz="4" w:space="0" w:color="AB73D5"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1FB" w:themeFill="accent6" w:themeFillTint="19"/>
    </w:tcPr>
    <w:tblStylePr w:type="firstRow">
      <w:rPr>
        <w:b/>
        <w:bCs/>
      </w:rPr>
      <w:tblPr/>
      <w:tcPr>
        <w:tcBorders>
          <w:top w:val="nil"/>
          <w:left w:val="nil"/>
          <w:bottom w:val="single" w:sz="24" w:space="0" w:color="FFC0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2D97" w:themeFill="accent6" w:themeFillShade="99"/>
      </w:tcPr>
    </w:tblStylePr>
    <w:tblStylePr w:type="firstCol">
      <w:rPr>
        <w:color w:val="FFFFFF" w:themeColor="background1"/>
      </w:rPr>
      <w:tblPr/>
      <w:tcPr>
        <w:tcBorders>
          <w:top w:val="nil"/>
          <w:left w:val="nil"/>
          <w:bottom w:val="nil"/>
          <w:right w:val="nil"/>
          <w:insideH w:val="single" w:sz="4" w:space="0" w:color="692D97" w:themeColor="accent6" w:themeShade="99"/>
          <w:insideV w:val="nil"/>
        </w:tcBorders>
        <w:shd w:val="clear" w:color="auto" w:fill="692D9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92D97" w:themeFill="accent6" w:themeFillShade="99"/>
      </w:tcPr>
    </w:tblStylePr>
    <w:tblStylePr w:type="band1Vert">
      <w:tblPr/>
      <w:tcPr>
        <w:shd w:val="clear" w:color="auto" w:fill="DDC6EE" w:themeFill="accent6" w:themeFillTint="66"/>
      </w:tcPr>
    </w:tblStylePr>
    <w:tblStylePr w:type="band1Horz">
      <w:tblPr/>
      <w:tcPr>
        <w:shd w:val="clear" w:color="auto" w:fill="D5B9EA"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2800" w:themeFill="accent2" w:themeFillShade="CC"/>
      </w:tcPr>
    </w:tblStylePr>
    <w:tblStylePr w:type="lastRow">
      <w:rPr>
        <w:b/>
        <w:bCs/>
        <w:color w:val="CC28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CEAEA" w:themeFill="accent1" w:themeFillTint="19"/>
    </w:tcPr>
    <w:tblStylePr w:type="firstRow">
      <w:rPr>
        <w:b/>
        <w:bCs/>
        <w:color w:val="FFFFFF" w:themeColor="background1"/>
      </w:rPr>
      <w:tblPr/>
      <w:tcPr>
        <w:tcBorders>
          <w:bottom w:val="single" w:sz="12" w:space="0" w:color="FFFFFF" w:themeColor="background1"/>
        </w:tcBorders>
        <w:shd w:val="clear" w:color="auto" w:fill="CC2800" w:themeFill="accent2" w:themeFillShade="CC"/>
      </w:tcPr>
    </w:tblStylePr>
    <w:tblStylePr w:type="lastRow">
      <w:rPr>
        <w:b/>
        <w:bCs/>
        <w:color w:val="CC28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BCB" w:themeFill="accent1" w:themeFillTint="3F"/>
      </w:tcPr>
    </w:tblStylePr>
    <w:tblStylePr w:type="band1Horz">
      <w:tblPr/>
      <w:tcPr>
        <w:shd w:val="clear" w:color="auto" w:fill="F8D5D5"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FEBE6" w:themeFill="accent2" w:themeFillTint="19"/>
    </w:tcPr>
    <w:tblStylePr w:type="firstRow">
      <w:rPr>
        <w:b/>
        <w:bCs/>
        <w:color w:val="FFFFFF" w:themeColor="background1"/>
      </w:rPr>
      <w:tblPr/>
      <w:tcPr>
        <w:tcBorders>
          <w:bottom w:val="single" w:sz="12" w:space="0" w:color="FFFFFF" w:themeColor="background1"/>
        </w:tcBorders>
        <w:shd w:val="clear" w:color="auto" w:fill="CC2800" w:themeFill="accent2" w:themeFillShade="CC"/>
      </w:tcPr>
    </w:tblStylePr>
    <w:tblStylePr w:type="lastRow">
      <w:rPr>
        <w:b/>
        <w:bCs/>
        <w:color w:val="CC28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CC0" w:themeFill="accent2" w:themeFillTint="3F"/>
      </w:tcPr>
    </w:tblStylePr>
    <w:tblStylePr w:type="band1Horz">
      <w:tblPr/>
      <w:tcPr>
        <w:shd w:val="clear" w:color="auto" w:fill="FFD6CC"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DFFCF4" w:themeFill="accent3" w:themeFillTint="19"/>
    </w:tcPr>
    <w:tblStylePr w:type="firstRow">
      <w:rPr>
        <w:b/>
        <w:bCs/>
        <w:color w:val="FFFFFF" w:themeColor="background1"/>
      </w:rPr>
      <w:tblPr/>
      <w:tcPr>
        <w:tcBorders>
          <w:bottom w:val="single" w:sz="12" w:space="0" w:color="FFFFFF" w:themeColor="background1"/>
        </w:tcBorders>
        <w:shd w:val="clear" w:color="auto" w:fill="0CA57B" w:themeFill="accent4" w:themeFillShade="CC"/>
      </w:tcPr>
    </w:tblStylePr>
    <w:tblStylePr w:type="lastRow">
      <w:rPr>
        <w:b/>
        <w:bCs/>
        <w:color w:val="0CA57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F9E5" w:themeFill="accent3" w:themeFillTint="3F"/>
      </w:tcPr>
    </w:tblStylePr>
    <w:tblStylePr w:type="band1Horz">
      <w:tblPr/>
      <w:tcPr>
        <w:shd w:val="clear" w:color="auto" w:fill="BEFAEA"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E4FDF6" w:themeFill="accent4" w:themeFillTint="19"/>
    </w:tcPr>
    <w:tblStylePr w:type="firstRow">
      <w:rPr>
        <w:b/>
        <w:bCs/>
        <w:color w:val="FFFFFF" w:themeColor="background1"/>
      </w:rPr>
      <w:tblPr/>
      <w:tcPr>
        <w:tcBorders>
          <w:bottom w:val="single" w:sz="12" w:space="0" w:color="FFFFFF" w:themeColor="background1"/>
        </w:tcBorders>
        <w:shd w:val="clear" w:color="auto" w:fill="087B5C" w:themeFill="accent3" w:themeFillShade="CC"/>
      </w:tcPr>
    </w:tblStylePr>
    <w:tblStylePr w:type="lastRow">
      <w:rPr>
        <w:b/>
        <w:bCs/>
        <w:color w:val="087B5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hemeFill="accent4" w:themeFillTint="3F"/>
      </w:tcPr>
    </w:tblStylePr>
    <w:tblStylePr w:type="band1Horz">
      <w:tblPr/>
      <w:tcPr>
        <w:shd w:val="clear" w:color="auto" w:fill="C9FBED"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FF8E6" w:themeFill="accent5" w:themeFillTint="19"/>
    </w:tcPr>
    <w:tblStylePr w:type="firstRow">
      <w:rPr>
        <w:b/>
        <w:bCs/>
        <w:color w:val="FFFFFF" w:themeColor="background1"/>
      </w:rPr>
      <w:tblPr/>
      <w:tcPr>
        <w:tcBorders>
          <w:bottom w:val="single" w:sz="12" w:space="0" w:color="FFFFFF" w:themeColor="background1"/>
        </w:tcBorders>
        <w:shd w:val="clear" w:color="auto" w:fill="8C40C5" w:themeFill="accent6" w:themeFillShade="CC"/>
      </w:tcPr>
    </w:tblStylePr>
    <w:tblStylePr w:type="lastRow">
      <w:rPr>
        <w:b/>
        <w:bCs/>
        <w:color w:val="8C40C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5" w:themeFillTint="3F"/>
      </w:tcPr>
    </w:tblStylePr>
    <w:tblStylePr w:type="band1Horz">
      <w:tblPr/>
      <w:tcPr>
        <w:shd w:val="clear" w:color="auto" w:fill="FFF2CC"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s-ES_tradnl" w:eastAsia="es-ES_tradnl"/>
    </w:rPr>
    <w:tblPr>
      <w:tblStyleRowBandSize w:val="1"/>
      <w:tblStyleColBandSize w:val="1"/>
      <w:tblInd w:w="0" w:type="dxa"/>
      <w:tblCellMar>
        <w:top w:w="0" w:type="dxa"/>
        <w:left w:w="108" w:type="dxa"/>
        <w:bottom w:w="0" w:type="dxa"/>
        <w:right w:w="108" w:type="dxa"/>
      </w:tblCellMar>
    </w:tblPr>
    <w:tcPr>
      <w:shd w:val="clear" w:color="auto" w:fill="F6F1FB" w:themeFill="accent6" w:themeFillTint="19"/>
    </w:tcPr>
    <w:tblStylePr w:type="firstRow">
      <w:rPr>
        <w:b/>
        <w:bCs/>
        <w:color w:val="FFFFFF" w:themeColor="background1"/>
      </w:rPr>
      <w:tblPr/>
      <w:tcPr>
        <w:tcBorders>
          <w:bottom w:val="single" w:sz="12" w:space="0" w:color="FFFFFF" w:themeColor="background1"/>
        </w:tcBorders>
        <w:shd w:val="clear" w:color="auto" w:fill="CC9900" w:themeFill="accent5" w:themeFillShade="CC"/>
      </w:tcPr>
    </w:tblStylePr>
    <w:tblStylePr w:type="lastRow">
      <w:rPr>
        <w:b/>
        <w:bCs/>
        <w:color w:val="CC99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DCF4" w:themeFill="accent6" w:themeFillTint="3F"/>
      </w:tcPr>
    </w:tblStylePr>
    <w:tblStylePr w:type="band1Horz">
      <w:tblPr/>
      <w:tcPr>
        <w:shd w:val="clear" w:color="auto" w:fill="EEE2F6"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D5D5" w:themeFill="accent1" w:themeFillTint="33"/>
    </w:tcPr>
    <w:tblStylePr w:type="firstRow">
      <w:rPr>
        <w:b/>
        <w:bCs/>
      </w:rPr>
      <w:tblPr/>
      <w:tcPr>
        <w:shd w:val="clear" w:color="auto" w:fill="F2ABAB" w:themeFill="accent1" w:themeFillTint="66"/>
      </w:tcPr>
    </w:tblStylePr>
    <w:tblStylePr w:type="lastRow">
      <w:rPr>
        <w:b/>
        <w:bCs/>
        <w:color w:val="000000" w:themeColor="text1"/>
      </w:rPr>
      <w:tblPr/>
      <w:tcPr>
        <w:shd w:val="clear" w:color="auto" w:fill="F2ABAB" w:themeFill="accent1" w:themeFillTint="66"/>
      </w:tcPr>
    </w:tblStylePr>
    <w:tblStylePr w:type="firstCol">
      <w:rPr>
        <w:color w:val="FFFFFF" w:themeColor="background1"/>
      </w:rPr>
      <w:tblPr/>
      <w:tcPr>
        <w:shd w:val="clear" w:color="auto" w:fill="AE1A1B" w:themeFill="accent1" w:themeFillShade="BF"/>
      </w:tcPr>
    </w:tblStylePr>
    <w:tblStylePr w:type="lastCol">
      <w:rPr>
        <w:color w:val="FFFFFF" w:themeColor="background1"/>
      </w:rPr>
      <w:tblPr/>
      <w:tcPr>
        <w:shd w:val="clear" w:color="auto" w:fill="AE1A1B" w:themeFill="accent1" w:themeFillShade="BF"/>
      </w:tcPr>
    </w:tblStylePr>
    <w:tblStylePr w:type="band1Vert">
      <w:tblPr/>
      <w:tcPr>
        <w:shd w:val="clear" w:color="auto" w:fill="EF9697" w:themeFill="accent1" w:themeFillTint="7F"/>
      </w:tcPr>
    </w:tblStylePr>
    <w:tblStylePr w:type="band1Horz">
      <w:tblPr/>
      <w:tcPr>
        <w:shd w:val="clear" w:color="auto" w:fill="EF9697"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D6CC" w:themeFill="accent2" w:themeFillTint="33"/>
    </w:tcPr>
    <w:tblStylePr w:type="firstRow">
      <w:rPr>
        <w:b/>
        <w:bCs/>
      </w:rPr>
      <w:tblPr/>
      <w:tcPr>
        <w:shd w:val="clear" w:color="auto" w:fill="FFAD99" w:themeFill="accent2" w:themeFillTint="66"/>
      </w:tcPr>
    </w:tblStylePr>
    <w:tblStylePr w:type="lastRow">
      <w:rPr>
        <w:b/>
        <w:bCs/>
        <w:color w:val="000000" w:themeColor="text1"/>
      </w:rPr>
      <w:tblPr/>
      <w:tcPr>
        <w:shd w:val="clear" w:color="auto" w:fill="FFAD99" w:themeFill="accent2" w:themeFillTint="66"/>
      </w:tcPr>
    </w:tblStylePr>
    <w:tblStylePr w:type="firstCol">
      <w:rPr>
        <w:color w:val="FFFFFF" w:themeColor="background1"/>
      </w:rPr>
      <w:tblPr/>
      <w:tcPr>
        <w:shd w:val="clear" w:color="auto" w:fill="BF2600" w:themeFill="accent2" w:themeFillShade="BF"/>
      </w:tcPr>
    </w:tblStylePr>
    <w:tblStylePr w:type="lastCol">
      <w:rPr>
        <w:color w:val="FFFFFF" w:themeColor="background1"/>
      </w:rPr>
      <w:tblPr/>
      <w:tcPr>
        <w:shd w:val="clear" w:color="auto" w:fill="BF2600" w:themeFill="accent2" w:themeFillShade="BF"/>
      </w:tcPr>
    </w:tblStylePr>
    <w:tblStylePr w:type="band1Vert">
      <w:tblPr/>
      <w:tcPr>
        <w:shd w:val="clear" w:color="auto" w:fill="FF9980" w:themeFill="accent2" w:themeFillTint="7F"/>
      </w:tcPr>
    </w:tblStylePr>
    <w:tblStylePr w:type="band1Horz">
      <w:tblPr/>
      <w:tcPr>
        <w:shd w:val="clear" w:color="auto" w:fill="FF9980"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EFAEA" w:themeFill="accent3" w:themeFillTint="33"/>
    </w:tcPr>
    <w:tblStylePr w:type="firstRow">
      <w:rPr>
        <w:b/>
        <w:bCs/>
      </w:rPr>
      <w:tblPr/>
      <w:tcPr>
        <w:shd w:val="clear" w:color="auto" w:fill="7EF6D5" w:themeFill="accent3" w:themeFillTint="66"/>
      </w:tcPr>
    </w:tblStylePr>
    <w:tblStylePr w:type="lastRow">
      <w:rPr>
        <w:b/>
        <w:bCs/>
        <w:color w:val="000000" w:themeColor="text1"/>
      </w:rPr>
      <w:tblPr/>
      <w:tcPr>
        <w:shd w:val="clear" w:color="auto" w:fill="7EF6D5" w:themeFill="accent3" w:themeFillTint="66"/>
      </w:tcPr>
    </w:tblStylePr>
    <w:tblStylePr w:type="firstCol">
      <w:rPr>
        <w:color w:val="FFFFFF" w:themeColor="background1"/>
      </w:rPr>
      <w:tblPr/>
      <w:tcPr>
        <w:shd w:val="clear" w:color="auto" w:fill="087456" w:themeFill="accent3" w:themeFillShade="BF"/>
      </w:tcPr>
    </w:tblStylePr>
    <w:tblStylePr w:type="lastCol">
      <w:rPr>
        <w:color w:val="FFFFFF" w:themeColor="background1"/>
      </w:rPr>
      <w:tblPr/>
      <w:tcPr>
        <w:shd w:val="clear" w:color="auto" w:fill="087456" w:themeFill="accent3" w:themeFillShade="BF"/>
      </w:tcPr>
    </w:tblStylePr>
    <w:tblStylePr w:type="band1Vert">
      <w:tblPr/>
      <w:tcPr>
        <w:shd w:val="clear" w:color="auto" w:fill="5FF3CA" w:themeFill="accent3" w:themeFillTint="7F"/>
      </w:tcPr>
    </w:tblStylePr>
    <w:tblStylePr w:type="band1Horz">
      <w:tblPr/>
      <w:tcPr>
        <w:shd w:val="clear" w:color="auto" w:fill="5FF3CA"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9FBED" w:themeFill="accent4" w:themeFillTint="33"/>
    </w:tcPr>
    <w:tblStylePr w:type="firstRow">
      <w:rPr>
        <w:b/>
        <w:bCs/>
      </w:rPr>
      <w:tblPr/>
      <w:tcPr>
        <w:shd w:val="clear" w:color="auto" w:fill="94F6DB" w:themeFill="accent4" w:themeFillTint="66"/>
      </w:tcPr>
    </w:tblStylePr>
    <w:tblStylePr w:type="lastRow">
      <w:rPr>
        <w:b/>
        <w:bCs/>
        <w:color w:val="000000" w:themeColor="text1"/>
      </w:rPr>
      <w:tblPr/>
      <w:tcPr>
        <w:shd w:val="clear" w:color="auto" w:fill="94F6DB" w:themeFill="accent4" w:themeFillTint="66"/>
      </w:tcPr>
    </w:tblStylePr>
    <w:tblStylePr w:type="firstCol">
      <w:rPr>
        <w:color w:val="FFFFFF" w:themeColor="background1"/>
      </w:rPr>
      <w:tblPr/>
      <w:tcPr>
        <w:shd w:val="clear" w:color="auto" w:fill="0C9A73" w:themeFill="accent4" w:themeFillShade="BF"/>
      </w:tcPr>
    </w:tblStylePr>
    <w:tblStylePr w:type="lastCol">
      <w:rPr>
        <w:color w:val="FFFFFF" w:themeColor="background1"/>
      </w:rPr>
      <w:tblPr/>
      <w:tcPr>
        <w:shd w:val="clear" w:color="auto" w:fill="0C9A73" w:themeFill="accent4" w:themeFillShade="BF"/>
      </w:tcPr>
    </w:tblStylePr>
    <w:tblStylePr w:type="band1Vert">
      <w:tblPr/>
      <w:tcPr>
        <w:shd w:val="clear" w:color="auto" w:fill="7AF4D3" w:themeFill="accent4" w:themeFillTint="7F"/>
      </w:tcPr>
    </w:tblStylePr>
    <w:tblStylePr w:type="band1Horz">
      <w:tblPr/>
      <w:tcPr>
        <w:shd w:val="clear" w:color="auto" w:fill="7AF4D3"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5" w:themeFillTint="33"/>
    </w:tcPr>
    <w:tblStylePr w:type="firstRow">
      <w:rPr>
        <w:b/>
        <w:bCs/>
      </w:rPr>
      <w:tblPr/>
      <w:tcPr>
        <w:shd w:val="clear" w:color="auto" w:fill="FFE599" w:themeFill="accent5" w:themeFillTint="66"/>
      </w:tcPr>
    </w:tblStylePr>
    <w:tblStylePr w:type="lastRow">
      <w:rPr>
        <w:b/>
        <w:bCs/>
        <w:color w:val="000000" w:themeColor="text1"/>
      </w:rPr>
      <w:tblPr/>
      <w:tcPr>
        <w:shd w:val="clear" w:color="auto" w:fill="FFE599" w:themeFill="accent5" w:themeFillTint="66"/>
      </w:tcPr>
    </w:tblStylePr>
    <w:tblStylePr w:type="firstCol">
      <w:rPr>
        <w:color w:val="FFFFFF" w:themeColor="background1"/>
      </w:rPr>
      <w:tblPr/>
      <w:tcPr>
        <w:shd w:val="clear" w:color="auto" w:fill="BF8F00" w:themeFill="accent5" w:themeFillShade="BF"/>
      </w:tcPr>
    </w:tblStylePr>
    <w:tblStylePr w:type="lastCol">
      <w:rPr>
        <w:color w:val="FFFFFF" w:themeColor="background1"/>
      </w:rPr>
      <w:tblPr/>
      <w:tcPr>
        <w:shd w:val="clear" w:color="auto" w:fill="BF8F00" w:themeFill="accent5" w:themeFillShade="BF"/>
      </w:tcPr>
    </w:tblStylePr>
    <w:tblStylePr w:type="band1Vert">
      <w:tblPr/>
      <w:tcPr>
        <w:shd w:val="clear" w:color="auto" w:fill="FFDF80" w:themeFill="accent5" w:themeFillTint="7F"/>
      </w:tcPr>
    </w:tblStylePr>
    <w:tblStylePr w:type="band1Horz">
      <w:tblPr/>
      <w:tcPr>
        <w:shd w:val="clear" w:color="auto" w:fill="FFDF80"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s-ES_tradnl" w:eastAsia="es-ES_trad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EE2F6" w:themeFill="accent6" w:themeFillTint="33"/>
    </w:tcPr>
    <w:tblStylePr w:type="firstRow">
      <w:rPr>
        <w:b/>
        <w:bCs/>
      </w:rPr>
      <w:tblPr/>
      <w:tcPr>
        <w:shd w:val="clear" w:color="auto" w:fill="DDC6EE" w:themeFill="accent6" w:themeFillTint="66"/>
      </w:tcPr>
    </w:tblStylePr>
    <w:tblStylePr w:type="lastRow">
      <w:rPr>
        <w:b/>
        <w:bCs/>
        <w:color w:val="000000" w:themeColor="text1"/>
      </w:rPr>
      <w:tblPr/>
      <w:tcPr>
        <w:shd w:val="clear" w:color="auto" w:fill="DDC6EE" w:themeFill="accent6" w:themeFillTint="66"/>
      </w:tcPr>
    </w:tblStylePr>
    <w:tblStylePr w:type="firstCol">
      <w:rPr>
        <w:color w:val="FFFFFF" w:themeColor="background1"/>
      </w:rPr>
      <w:tblPr/>
      <w:tcPr>
        <w:shd w:val="clear" w:color="auto" w:fill="8338BC" w:themeFill="accent6" w:themeFillShade="BF"/>
      </w:tcPr>
    </w:tblStylePr>
    <w:tblStylePr w:type="lastCol">
      <w:rPr>
        <w:color w:val="FFFFFF" w:themeColor="background1"/>
      </w:rPr>
      <w:tblPr/>
      <w:tcPr>
        <w:shd w:val="clear" w:color="auto" w:fill="8338BC" w:themeFill="accent6" w:themeFillShade="BF"/>
      </w:tcPr>
    </w:tblStylePr>
    <w:tblStylePr w:type="band1Vert">
      <w:tblPr/>
      <w:tcPr>
        <w:shd w:val="clear" w:color="auto" w:fill="D5B9EA" w:themeFill="accent6" w:themeFillTint="7F"/>
      </w:tcPr>
    </w:tblStylePr>
    <w:tblStylePr w:type="band1Horz">
      <w:tblPr/>
      <w:tcPr>
        <w:shd w:val="clear" w:color="auto" w:fill="D5B9EA" w:themeFill="accent6" w:themeFillTint="7F"/>
      </w:tcPr>
    </w:tblStylePr>
  </w:style>
  <w:style w:type="table" w:styleId="Tablaconcuadrcula">
    <w:name w:val="Table Grid"/>
    <w:basedOn w:val="Tablanormal"/>
    <w:uiPriority w:val="59"/>
    <w:rsid w:val="00A4306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40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140B0"/>
  </w:style>
  <w:style w:type="paragraph" w:styleId="Piedepgina">
    <w:name w:val="footer"/>
    <w:basedOn w:val="Normal"/>
    <w:link w:val="PiedepginaCar"/>
    <w:uiPriority w:val="99"/>
    <w:unhideWhenUsed/>
    <w:rsid w:val="005140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140B0"/>
  </w:style>
  <w:style w:type="paragraph" w:customStyle="1" w:styleId="Title1">
    <w:name w:val="Title1"/>
    <w:basedOn w:val="Normal"/>
    <w:rsid w:val="0031588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554BD"/>
    <w:rPr>
      <w:rFonts w:ascii="Raleway" w:hAnsi="Raleway"/>
      <w:b/>
      <w:bCs/>
    </w:rPr>
  </w:style>
  <w:style w:type="paragraph" w:styleId="Prrafodelista">
    <w:name w:val="List Paragraph"/>
    <w:basedOn w:val="Normal"/>
    <w:uiPriority w:val="99"/>
    <w:rsid w:val="00CA5AE6"/>
    <w:pPr>
      <w:ind w:left="720"/>
      <w:contextualSpacing/>
    </w:pPr>
  </w:style>
  <w:style w:type="paragraph" w:styleId="Textoindependiente">
    <w:name w:val="Body Text"/>
    <w:basedOn w:val="Normal"/>
    <w:link w:val="TextoindependienteCar"/>
    <w:uiPriority w:val="1"/>
    <w:qFormat/>
    <w:rsid w:val="0011163D"/>
    <w:pPr>
      <w:widowControl w:val="0"/>
      <w:autoSpaceDE w:val="0"/>
      <w:autoSpaceDN w:val="0"/>
      <w:spacing w:after="0" w:line="240" w:lineRule="auto"/>
    </w:pPr>
    <w:rPr>
      <w:rFonts w:eastAsia="Calibri" w:cs="Calibri"/>
      <w:szCs w:val="24"/>
      <w:lang w:bidi="es-ES"/>
    </w:rPr>
  </w:style>
  <w:style w:type="character" w:customStyle="1" w:styleId="TextoindependienteCar">
    <w:name w:val="Texto independiente Car"/>
    <w:basedOn w:val="Fuentedeprrafopredeter"/>
    <w:link w:val="Textoindependiente"/>
    <w:uiPriority w:val="1"/>
    <w:rsid w:val="0011163D"/>
    <w:rPr>
      <w:rFonts w:ascii="Raleway" w:eastAsia="Calibri" w:hAnsi="Raleway" w:cs="Calibri"/>
      <w:sz w:val="24"/>
      <w:szCs w:val="24"/>
      <w:lang w:bidi="es-ES"/>
    </w:rPr>
  </w:style>
  <w:style w:type="character" w:styleId="Hipervnculo">
    <w:name w:val="Hyperlink"/>
    <w:basedOn w:val="Fuentedeprrafopredeter"/>
    <w:uiPriority w:val="99"/>
    <w:unhideWhenUsed/>
    <w:rsid w:val="008121BE"/>
    <w:rPr>
      <w:color w:val="438AD7" w:themeColor="hyperlink"/>
      <w:u w:val="single"/>
    </w:rPr>
  </w:style>
  <w:style w:type="character" w:styleId="Refdecomentario">
    <w:name w:val="annotation reference"/>
    <w:basedOn w:val="Fuentedeprrafopredeter"/>
    <w:uiPriority w:val="99"/>
    <w:semiHidden/>
    <w:unhideWhenUsed/>
    <w:rsid w:val="00602180"/>
    <w:rPr>
      <w:sz w:val="16"/>
      <w:szCs w:val="16"/>
    </w:rPr>
  </w:style>
  <w:style w:type="paragraph" w:styleId="Textocomentario">
    <w:name w:val="annotation text"/>
    <w:basedOn w:val="Normal"/>
    <w:link w:val="TextocomentarioCar"/>
    <w:uiPriority w:val="99"/>
    <w:semiHidden/>
    <w:unhideWhenUsed/>
    <w:rsid w:val="006021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2180"/>
    <w:rPr>
      <w:sz w:val="20"/>
      <w:szCs w:val="20"/>
    </w:rPr>
  </w:style>
  <w:style w:type="paragraph" w:styleId="Asuntodelcomentario">
    <w:name w:val="annotation subject"/>
    <w:basedOn w:val="Textocomentario"/>
    <w:next w:val="Textocomentario"/>
    <w:link w:val="AsuntodelcomentarioCar"/>
    <w:uiPriority w:val="99"/>
    <w:semiHidden/>
    <w:unhideWhenUsed/>
    <w:rsid w:val="00602180"/>
    <w:rPr>
      <w:b/>
      <w:bCs/>
    </w:rPr>
  </w:style>
  <w:style w:type="character" w:customStyle="1" w:styleId="AsuntodelcomentarioCar">
    <w:name w:val="Asunto del comentario Car"/>
    <w:basedOn w:val="TextocomentarioCar"/>
    <w:link w:val="Asuntodelcomentario"/>
    <w:uiPriority w:val="99"/>
    <w:semiHidden/>
    <w:rsid w:val="00602180"/>
    <w:rPr>
      <w:b/>
      <w:bCs/>
      <w:sz w:val="20"/>
      <w:szCs w:val="20"/>
    </w:rPr>
  </w:style>
  <w:style w:type="paragraph" w:styleId="Textodeglobo">
    <w:name w:val="Balloon Text"/>
    <w:basedOn w:val="Normal"/>
    <w:link w:val="TextodegloboCar"/>
    <w:uiPriority w:val="99"/>
    <w:semiHidden/>
    <w:unhideWhenUsed/>
    <w:rsid w:val="006021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2180"/>
    <w:rPr>
      <w:rFonts w:ascii="Segoe UI" w:hAnsi="Segoe UI" w:cs="Segoe UI"/>
      <w:sz w:val="18"/>
      <w:szCs w:val="18"/>
    </w:rPr>
  </w:style>
  <w:style w:type="paragraph" w:customStyle="1" w:styleId="gmail-m5024123584236486292msolistparagraph">
    <w:name w:val="gmail-m_5024123584236486292msolistparagraph"/>
    <w:basedOn w:val="Normal"/>
    <w:rsid w:val="0036081E"/>
    <w:pPr>
      <w:spacing w:before="100" w:beforeAutospacing="1" w:after="100" w:afterAutospacing="1" w:line="240" w:lineRule="auto"/>
    </w:pPr>
    <w:rPr>
      <w:rFonts w:ascii="Times New Roman" w:hAnsi="Times New Roman" w:cs="Times New Roman"/>
      <w:sz w:val="24"/>
      <w:szCs w:val="24"/>
    </w:rPr>
  </w:style>
  <w:style w:type="paragraph" w:customStyle="1" w:styleId="EstiloLuzn5">
    <w:name w:val="Estilo Luzán5"/>
    <w:basedOn w:val="Normal"/>
    <w:link w:val="EstiloLuzn5Car"/>
    <w:rsid w:val="001D59B7"/>
  </w:style>
  <w:style w:type="character" w:customStyle="1" w:styleId="EstiloLuzn5Car">
    <w:name w:val="Estilo Luzán5 Car"/>
    <w:basedOn w:val="Fuentedeprrafopredeter"/>
    <w:link w:val="EstiloLuzn5"/>
    <w:rsid w:val="001D59B7"/>
    <w:rPr>
      <w:rFonts w:ascii="Raleway Medium" w:hAnsi="Raleway Medium"/>
    </w:rPr>
  </w:style>
  <w:style w:type="character" w:customStyle="1" w:styleId="Ttulo1Car">
    <w:name w:val="Título 1 Car"/>
    <w:basedOn w:val="Fuentedeprrafopredeter"/>
    <w:link w:val="Ttulo1"/>
    <w:uiPriority w:val="99"/>
    <w:rsid w:val="00C43305"/>
    <w:rPr>
      <w:rFonts w:asciiTheme="majorHAnsi" w:eastAsiaTheme="majorEastAsia" w:hAnsiTheme="majorHAnsi" w:cstheme="majorBidi"/>
      <w:color w:val="AE1A1B" w:themeColor="accent1" w:themeShade="BF"/>
      <w:sz w:val="32"/>
      <w:szCs w:val="32"/>
    </w:rPr>
  </w:style>
  <w:style w:type="paragraph" w:styleId="TtuloTDC">
    <w:name w:val="TOC Heading"/>
    <w:basedOn w:val="Ttulo1"/>
    <w:next w:val="Normal"/>
    <w:uiPriority w:val="39"/>
    <w:unhideWhenUsed/>
    <w:qFormat/>
    <w:rsid w:val="00C43305"/>
    <w:pPr>
      <w:spacing w:line="259" w:lineRule="auto"/>
      <w:outlineLvl w:val="9"/>
    </w:pPr>
  </w:style>
  <w:style w:type="paragraph" w:customStyle="1" w:styleId="o-text--med">
    <w:name w:val="o-text--med"/>
    <w:basedOn w:val="Normal"/>
    <w:rsid w:val="000B370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0B370E"/>
    <w:rPr>
      <w:color w:val="605E5C"/>
      <w:shd w:val="clear" w:color="auto" w:fill="E1DFDD"/>
    </w:rPr>
  </w:style>
  <w:style w:type="paragraph" w:customStyle="1" w:styleId="o-text-desc">
    <w:name w:val="o-text-desc"/>
    <w:basedOn w:val="Normal"/>
    <w:rsid w:val="003701B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1541E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151FED"/>
    <w:rPr>
      <w:i/>
      <w:iCs/>
    </w:rPr>
  </w:style>
  <w:style w:type="character" w:customStyle="1" w:styleId="Ttulo2Car">
    <w:name w:val="Título 2 Car"/>
    <w:basedOn w:val="Fuentedeprrafopredeter"/>
    <w:link w:val="Ttulo2"/>
    <w:uiPriority w:val="99"/>
    <w:semiHidden/>
    <w:rsid w:val="00AF3BB7"/>
    <w:rPr>
      <w:rFonts w:asciiTheme="majorHAnsi" w:eastAsiaTheme="majorEastAsia" w:hAnsiTheme="majorHAnsi" w:cstheme="majorBidi"/>
      <w:color w:val="AE1A1B" w:themeColor="accent1" w:themeShade="BF"/>
      <w:sz w:val="26"/>
      <w:szCs w:val="26"/>
    </w:rPr>
  </w:style>
  <w:style w:type="character" w:styleId="Mencinsinresolver">
    <w:name w:val="Unresolved Mention"/>
    <w:basedOn w:val="Fuentedeprrafopredeter"/>
    <w:uiPriority w:val="99"/>
    <w:semiHidden/>
    <w:unhideWhenUsed/>
    <w:rsid w:val="002B1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8689">
      <w:bodyDiv w:val="1"/>
      <w:marLeft w:val="0"/>
      <w:marRight w:val="0"/>
      <w:marTop w:val="0"/>
      <w:marBottom w:val="0"/>
      <w:divBdr>
        <w:top w:val="none" w:sz="0" w:space="0" w:color="auto"/>
        <w:left w:val="none" w:sz="0" w:space="0" w:color="auto"/>
        <w:bottom w:val="none" w:sz="0" w:space="0" w:color="auto"/>
        <w:right w:val="none" w:sz="0" w:space="0" w:color="auto"/>
      </w:divBdr>
    </w:div>
    <w:div w:id="125318505">
      <w:bodyDiv w:val="1"/>
      <w:marLeft w:val="0"/>
      <w:marRight w:val="0"/>
      <w:marTop w:val="0"/>
      <w:marBottom w:val="0"/>
      <w:divBdr>
        <w:top w:val="none" w:sz="0" w:space="0" w:color="auto"/>
        <w:left w:val="none" w:sz="0" w:space="0" w:color="auto"/>
        <w:bottom w:val="none" w:sz="0" w:space="0" w:color="auto"/>
        <w:right w:val="none" w:sz="0" w:space="0" w:color="auto"/>
      </w:divBdr>
    </w:div>
    <w:div w:id="132793263">
      <w:bodyDiv w:val="1"/>
      <w:marLeft w:val="0"/>
      <w:marRight w:val="0"/>
      <w:marTop w:val="0"/>
      <w:marBottom w:val="0"/>
      <w:divBdr>
        <w:top w:val="none" w:sz="0" w:space="0" w:color="auto"/>
        <w:left w:val="none" w:sz="0" w:space="0" w:color="auto"/>
        <w:bottom w:val="none" w:sz="0" w:space="0" w:color="auto"/>
        <w:right w:val="none" w:sz="0" w:space="0" w:color="auto"/>
      </w:divBdr>
    </w:div>
    <w:div w:id="148375619">
      <w:bodyDiv w:val="1"/>
      <w:marLeft w:val="0"/>
      <w:marRight w:val="0"/>
      <w:marTop w:val="0"/>
      <w:marBottom w:val="0"/>
      <w:divBdr>
        <w:top w:val="none" w:sz="0" w:space="0" w:color="auto"/>
        <w:left w:val="none" w:sz="0" w:space="0" w:color="auto"/>
        <w:bottom w:val="none" w:sz="0" w:space="0" w:color="auto"/>
        <w:right w:val="none" w:sz="0" w:space="0" w:color="auto"/>
      </w:divBdr>
    </w:div>
    <w:div w:id="215698849">
      <w:bodyDiv w:val="1"/>
      <w:marLeft w:val="0"/>
      <w:marRight w:val="0"/>
      <w:marTop w:val="0"/>
      <w:marBottom w:val="0"/>
      <w:divBdr>
        <w:top w:val="none" w:sz="0" w:space="0" w:color="auto"/>
        <w:left w:val="none" w:sz="0" w:space="0" w:color="auto"/>
        <w:bottom w:val="none" w:sz="0" w:space="0" w:color="auto"/>
        <w:right w:val="none" w:sz="0" w:space="0" w:color="auto"/>
      </w:divBdr>
    </w:div>
    <w:div w:id="273559889">
      <w:bodyDiv w:val="1"/>
      <w:marLeft w:val="0"/>
      <w:marRight w:val="0"/>
      <w:marTop w:val="0"/>
      <w:marBottom w:val="0"/>
      <w:divBdr>
        <w:top w:val="none" w:sz="0" w:space="0" w:color="auto"/>
        <w:left w:val="none" w:sz="0" w:space="0" w:color="auto"/>
        <w:bottom w:val="none" w:sz="0" w:space="0" w:color="auto"/>
        <w:right w:val="none" w:sz="0" w:space="0" w:color="auto"/>
      </w:divBdr>
    </w:div>
    <w:div w:id="286742839">
      <w:bodyDiv w:val="1"/>
      <w:marLeft w:val="0"/>
      <w:marRight w:val="0"/>
      <w:marTop w:val="0"/>
      <w:marBottom w:val="0"/>
      <w:divBdr>
        <w:top w:val="none" w:sz="0" w:space="0" w:color="auto"/>
        <w:left w:val="none" w:sz="0" w:space="0" w:color="auto"/>
        <w:bottom w:val="none" w:sz="0" w:space="0" w:color="auto"/>
        <w:right w:val="none" w:sz="0" w:space="0" w:color="auto"/>
      </w:divBdr>
      <w:divsChild>
        <w:div w:id="824903728">
          <w:marLeft w:val="0"/>
          <w:marRight w:val="0"/>
          <w:marTop w:val="0"/>
          <w:marBottom w:val="0"/>
          <w:divBdr>
            <w:top w:val="none" w:sz="0" w:space="0" w:color="auto"/>
            <w:left w:val="none" w:sz="0" w:space="0" w:color="auto"/>
            <w:bottom w:val="none" w:sz="0" w:space="0" w:color="auto"/>
            <w:right w:val="none" w:sz="0" w:space="0" w:color="auto"/>
          </w:divBdr>
        </w:div>
      </w:divsChild>
    </w:div>
    <w:div w:id="497040764">
      <w:bodyDiv w:val="1"/>
      <w:marLeft w:val="0"/>
      <w:marRight w:val="0"/>
      <w:marTop w:val="0"/>
      <w:marBottom w:val="0"/>
      <w:divBdr>
        <w:top w:val="none" w:sz="0" w:space="0" w:color="auto"/>
        <w:left w:val="none" w:sz="0" w:space="0" w:color="auto"/>
        <w:bottom w:val="none" w:sz="0" w:space="0" w:color="auto"/>
        <w:right w:val="none" w:sz="0" w:space="0" w:color="auto"/>
      </w:divBdr>
    </w:div>
    <w:div w:id="526068684">
      <w:bodyDiv w:val="1"/>
      <w:marLeft w:val="0"/>
      <w:marRight w:val="0"/>
      <w:marTop w:val="0"/>
      <w:marBottom w:val="0"/>
      <w:divBdr>
        <w:top w:val="none" w:sz="0" w:space="0" w:color="auto"/>
        <w:left w:val="none" w:sz="0" w:space="0" w:color="auto"/>
        <w:bottom w:val="none" w:sz="0" w:space="0" w:color="auto"/>
        <w:right w:val="none" w:sz="0" w:space="0" w:color="auto"/>
      </w:divBdr>
    </w:div>
    <w:div w:id="635647180">
      <w:bodyDiv w:val="1"/>
      <w:marLeft w:val="0"/>
      <w:marRight w:val="0"/>
      <w:marTop w:val="0"/>
      <w:marBottom w:val="0"/>
      <w:divBdr>
        <w:top w:val="none" w:sz="0" w:space="0" w:color="auto"/>
        <w:left w:val="none" w:sz="0" w:space="0" w:color="auto"/>
        <w:bottom w:val="none" w:sz="0" w:space="0" w:color="auto"/>
        <w:right w:val="none" w:sz="0" w:space="0" w:color="auto"/>
      </w:divBdr>
    </w:div>
    <w:div w:id="767652743">
      <w:bodyDiv w:val="1"/>
      <w:marLeft w:val="0"/>
      <w:marRight w:val="0"/>
      <w:marTop w:val="0"/>
      <w:marBottom w:val="0"/>
      <w:divBdr>
        <w:top w:val="none" w:sz="0" w:space="0" w:color="auto"/>
        <w:left w:val="none" w:sz="0" w:space="0" w:color="auto"/>
        <w:bottom w:val="none" w:sz="0" w:space="0" w:color="auto"/>
        <w:right w:val="none" w:sz="0" w:space="0" w:color="auto"/>
      </w:divBdr>
    </w:div>
    <w:div w:id="785851030">
      <w:bodyDiv w:val="1"/>
      <w:marLeft w:val="0"/>
      <w:marRight w:val="0"/>
      <w:marTop w:val="0"/>
      <w:marBottom w:val="0"/>
      <w:divBdr>
        <w:top w:val="none" w:sz="0" w:space="0" w:color="auto"/>
        <w:left w:val="none" w:sz="0" w:space="0" w:color="auto"/>
        <w:bottom w:val="none" w:sz="0" w:space="0" w:color="auto"/>
        <w:right w:val="none" w:sz="0" w:space="0" w:color="auto"/>
      </w:divBdr>
    </w:div>
    <w:div w:id="789276787">
      <w:bodyDiv w:val="1"/>
      <w:marLeft w:val="0"/>
      <w:marRight w:val="0"/>
      <w:marTop w:val="0"/>
      <w:marBottom w:val="0"/>
      <w:divBdr>
        <w:top w:val="none" w:sz="0" w:space="0" w:color="auto"/>
        <w:left w:val="none" w:sz="0" w:space="0" w:color="auto"/>
        <w:bottom w:val="none" w:sz="0" w:space="0" w:color="auto"/>
        <w:right w:val="none" w:sz="0" w:space="0" w:color="auto"/>
      </w:divBdr>
    </w:div>
    <w:div w:id="820389735">
      <w:bodyDiv w:val="1"/>
      <w:marLeft w:val="0"/>
      <w:marRight w:val="0"/>
      <w:marTop w:val="0"/>
      <w:marBottom w:val="0"/>
      <w:divBdr>
        <w:top w:val="none" w:sz="0" w:space="0" w:color="auto"/>
        <w:left w:val="none" w:sz="0" w:space="0" w:color="auto"/>
        <w:bottom w:val="none" w:sz="0" w:space="0" w:color="auto"/>
        <w:right w:val="none" w:sz="0" w:space="0" w:color="auto"/>
      </w:divBdr>
    </w:div>
    <w:div w:id="864903634">
      <w:bodyDiv w:val="1"/>
      <w:marLeft w:val="0"/>
      <w:marRight w:val="0"/>
      <w:marTop w:val="0"/>
      <w:marBottom w:val="0"/>
      <w:divBdr>
        <w:top w:val="none" w:sz="0" w:space="0" w:color="auto"/>
        <w:left w:val="none" w:sz="0" w:space="0" w:color="auto"/>
        <w:bottom w:val="none" w:sz="0" w:space="0" w:color="auto"/>
        <w:right w:val="none" w:sz="0" w:space="0" w:color="auto"/>
      </w:divBdr>
    </w:div>
    <w:div w:id="1037657468">
      <w:bodyDiv w:val="1"/>
      <w:marLeft w:val="0"/>
      <w:marRight w:val="0"/>
      <w:marTop w:val="0"/>
      <w:marBottom w:val="0"/>
      <w:divBdr>
        <w:top w:val="none" w:sz="0" w:space="0" w:color="auto"/>
        <w:left w:val="none" w:sz="0" w:space="0" w:color="auto"/>
        <w:bottom w:val="none" w:sz="0" w:space="0" w:color="auto"/>
        <w:right w:val="none" w:sz="0" w:space="0" w:color="auto"/>
      </w:divBdr>
    </w:div>
    <w:div w:id="1195579176">
      <w:bodyDiv w:val="1"/>
      <w:marLeft w:val="0"/>
      <w:marRight w:val="0"/>
      <w:marTop w:val="0"/>
      <w:marBottom w:val="0"/>
      <w:divBdr>
        <w:top w:val="none" w:sz="0" w:space="0" w:color="auto"/>
        <w:left w:val="none" w:sz="0" w:space="0" w:color="auto"/>
        <w:bottom w:val="none" w:sz="0" w:space="0" w:color="auto"/>
        <w:right w:val="none" w:sz="0" w:space="0" w:color="auto"/>
      </w:divBdr>
    </w:div>
    <w:div w:id="1339499605">
      <w:bodyDiv w:val="1"/>
      <w:marLeft w:val="0"/>
      <w:marRight w:val="0"/>
      <w:marTop w:val="0"/>
      <w:marBottom w:val="0"/>
      <w:divBdr>
        <w:top w:val="none" w:sz="0" w:space="0" w:color="auto"/>
        <w:left w:val="none" w:sz="0" w:space="0" w:color="auto"/>
        <w:bottom w:val="none" w:sz="0" w:space="0" w:color="auto"/>
        <w:right w:val="none" w:sz="0" w:space="0" w:color="auto"/>
      </w:divBdr>
    </w:div>
    <w:div w:id="1411584808">
      <w:bodyDiv w:val="1"/>
      <w:marLeft w:val="0"/>
      <w:marRight w:val="0"/>
      <w:marTop w:val="0"/>
      <w:marBottom w:val="0"/>
      <w:divBdr>
        <w:top w:val="none" w:sz="0" w:space="0" w:color="auto"/>
        <w:left w:val="none" w:sz="0" w:space="0" w:color="auto"/>
        <w:bottom w:val="none" w:sz="0" w:space="0" w:color="auto"/>
        <w:right w:val="none" w:sz="0" w:space="0" w:color="auto"/>
      </w:divBdr>
    </w:div>
    <w:div w:id="1481965697">
      <w:bodyDiv w:val="1"/>
      <w:marLeft w:val="0"/>
      <w:marRight w:val="0"/>
      <w:marTop w:val="0"/>
      <w:marBottom w:val="0"/>
      <w:divBdr>
        <w:top w:val="none" w:sz="0" w:space="0" w:color="auto"/>
        <w:left w:val="none" w:sz="0" w:space="0" w:color="auto"/>
        <w:bottom w:val="none" w:sz="0" w:space="0" w:color="auto"/>
        <w:right w:val="none" w:sz="0" w:space="0" w:color="auto"/>
      </w:divBdr>
      <w:divsChild>
        <w:div w:id="1458570114">
          <w:marLeft w:val="0"/>
          <w:marRight w:val="240"/>
          <w:marTop w:val="0"/>
          <w:marBottom w:val="360"/>
          <w:divBdr>
            <w:top w:val="none" w:sz="0" w:space="0" w:color="auto"/>
            <w:left w:val="none" w:sz="0" w:space="0" w:color="auto"/>
            <w:bottom w:val="none" w:sz="0" w:space="0" w:color="auto"/>
            <w:right w:val="none" w:sz="0" w:space="0" w:color="auto"/>
          </w:divBdr>
          <w:divsChild>
            <w:div w:id="206574715">
              <w:marLeft w:val="0"/>
              <w:marRight w:val="0"/>
              <w:marTop w:val="0"/>
              <w:marBottom w:val="0"/>
              <w:divBdr>
                <w:top w:val="none" w:sz="0" w:space="0" w:color="auto"/>
                <w:left w:val="none" w:sz="0" w:space="0" w:color="auto"/>
                <w:bottom w:val="none" w:sz="0" w:space="0" w:color="auto"/>
                <w:right w:val="none" w:sz="0" w:space="0" w:color="auto"/>
              </w:divBdr>
            </w:div>
            <w:div w:id="11915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358541">
      <w:bodyDiv w:val="1"/>
      <w:marLeft w:val="0"/>
      <w:marRight w:val="0"/>
      <w:marTop w:val="0"/>
      <w:marBottom w:val="0"/>
      <w:divBdr>
        <w:top w:val="none" w:sz="0" w:space="0" w:color="auto"/>
        <w:left w:val="none" w:sz="0" w:space="0" w:color="auto"/>
        <w:bottom w:val="none" w:sz="0" w:space="0" w:color="auto"/>
        <w:right w:val="none" w:sz="0" w:space="0" w:color="auto"/>
      </w:divBdr>
    </w:div>
    <w:div w:id="1526940650">
      <w:bodyDiv w:val="1"/>
      <w:marLeft w:val="0"/>
      <w:marRight w:val="0"/>
      <w:marTop w:val="0"/>
      <w:marBottom w:val="0"/>
      <w:divBdr>
        <w:top w:val="none" w:sz="0" w:space="0" w:color="auto"/>
        <w:left w:val="none" w:sz="0" w:space="0" w:color="auto"/>
        <w:bottom w:val="none" w:sz="0" w:space="0" w:color="auto"/>
        <w:right w:val="none" w:sz="0" w:space="0" w:color="auto"/>
      </w:divBdr>
    </w:div>
    <w:div w:id="1551571138">
      <w:bodyDiv w:val="1"/>
      <w:marLeft w:val="0"/>
      <w:marRight w:val="0"/>
      <w:marTop w:val="0"/>
      <w:marBottom w:val="0"/>
      <w:divBdr>
        <w:top w:val="none" w:sz="0" w:space="0" w:color="auto"/>
        <w:left w:val="none" w:sz="0" w:space="0" w:color="auto"/>
        <w:bottom w:val="none" w:sz="0" w:space="0" w:color="auto"/>
        <w:right w:val="none" w:sz="0" w:space="0" w:color="auto"/>
      </w:divBdr>
    </w:div>
    <w:div w:id="1688673467">
      <w:bodyDiv w:val="1"/>
      <w:marLeft w:val="0"/>
      <w:marRight w:val="0"/>
      <w:marTop w:val="0"/>
      <w:marBottom w:val="0"/>
      <w:divBdr>
        <w:top w:val="none" w:sz="0" w:space="0" w:color="auto"/>
        <w:left w:val="none" w:sz="0" w:space="0" w:color="auto"/>
        <w:bottom w:val="none" w:sz="0" w:space="0" w:color="auto"/>
        <w:right w:val="none" w:sz="0" w:space="0" w:color="auto"/>
      </w:divBdr>
    </w:div>
    <w:div w:id="1723140798">
      <w:bodyDiv w:val="1"/>
      <w:marLeft w:val="0"/>
      <w:marRight w:val="0"/>
      <w:marTop w:val="0"/>
      <w:marBottom w:val="0"/>
      <w:divBdr>
        <w:top w:val="none" w:sz="0" w:space="0" w:color="auto"/>
        <w:left w:val="none" w:sz="0" w:space="0" w:color="auto"/>
        <w:bottom w:val="none" w:sz="0" w:space="0" w:color="auto"/>
        <w:right w:val="none" w:sz="0" w:space="0" w:color="auto"/>
      </w:divBdr>
    </w:div>
    <w:div w:id="1782341544">
      <w:bodyDiv w:val="1"/>
      <w:marLeft w:val="0"/>
      <w:marRight w:val="0"/>
      <w:marTop w:val="0"/>
      <w:marBottom w:val="0"/>
      <w:divBdr>
        <w:top w:val="none" w:sz="0" w:space="0" w:color="auto"/>
        <w:left w:val="none" w:sz="0" w:space="0" w:color="auto"/>
        <w:bottom w:val="none" w:sz="0" w:space="0" w:color="auto"/>
        <w:right w:val="none" w:sz="0" w:space="0" w:color="auto"/>
      </w:divBdr>
    </w:div>
    <w:div w:id="1799839311">
      <w:bodyDiv w:val="1"/>
      <w:marLeft w:val="0"/>
      <w:marRight w:val="0"/>
      <w:marTop w:val="0"/>
      <w:marBottom w:val="0"/>
      <w:divBdr>
        <w:top w:val="none" w:sz="0" w:space="0" w:color="auto"/>
        <w:left w:val="none" w:sz="0" w:space="0" w:color="auto"/>
        <w:bottom w:val="none" w:sz="0" w:space="0" w:color="auto"/>
        <w:right w:val="none" w:sz="0" w:space="0" w:color="auto"/>
      </w:divBdr>
    </w:div>
    <w:div w:id="2020815982">
      <w:bodyDiv w:val="1"/>
      <w:marLeft w:val="0"/>
      <w:marRight w:val="0"/>
      <w:marTop w:val="0"/>
      <w:marBottom w:val="0"/>
      <w:divBdr>
        <w:top w:val="none" w:sz="0" w:space="0" w:color="auto"/>
        <w:left w:val="none" w:sz="0" w:space="0" w:color="auto"/>
        <w:bottom w:val="none" w:sz="0" w:space="0" w:color="auto"/>
        <w:right w:val="none" w:sz="0" w:space="0" w:color="auto"/>
      </w:divBdr>
      <w:divsChild>
        <w:div w:id="1897279094">
          <w:marLeft w:val="0"/>
          <w:marRight w:val="0"/>
          <w:marTop w:val="0"/>
          <w:marBottom w:val="0"/>
          <w:divBdr>
            <w:top w:val="none" w:sz="0" w:space="0" w:color="auto"/>
            <w:left w:val="none" w:sz="0" w:space="0" w:color="auto"/>
            <w:bottom w:val="none" w:sz="0" w:space="0" w:color="auto"/>
            <w:right w:val="none" w:sz="0" w:space="0" w:color="auto"/>
          </w:divBdr>
        </w:div>
      </w:divsChild>
    </w:div>
    <w:div w:id="2055083897">
      <w:bodyDiv w:val="1"/>
      <w:marLeft w:val="0"/>
      <w:marRight w:val="0"/>
      <w:marTop w:val="0"/>
      <w:marBottom w:val="0"/>
      <w:divBdr>
        <w:top w:val="none" w:sz="0" w:space="0" w:color="auto"/>
        <w:left w:val="none" w:sz="0" w:space="0" w:color="auto"/>
        <w:bottom w:val="none" w:sz="0" w:space="0" w:color="auto"/>
        <w:right w:val="none" w:sz="0" w:space="0" w:color="auto"/>
      </w:divBdr>
    </w:div>
    <w:div w:id="2057655153">
      <w:bodyDiv w:val="1"/>
      <w:marLeft w:val="0"/>
      <w:marRight w:val="0"/>
      <w:marTop w:val="0"/>
      <w:marBottom w:val="0"/>
      <w:divBdr>
        <w:top w:val="none" w:sz="0" w:space="0" w:color="auto"/>
        <w:left w:val="none" w:sz="0" w:space="0" w:color="auto"/>
        <w:bottom w:val="none" w:sz="0" w:space="0" w:color="auto"/>
        <w:right w:val="none" w:sz="0" w:space="0" w:color="auto"/>
      </w:divBdr>
    </w:div>
    <w:div w:id="210228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ww.gemasma.com" TargetMode="External"/><Relationship Id="rId13" Type="http://schemas.openxmlformats.org/officeDocument/2006/relationships/hyperlink" Target="https://twitter.com/gemasm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emasma.com" TargetMode="External"/><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hyperlink" Target="https://twitter.com/gemasm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sotegui@luzan5.es" TargetMode="External"/><Relationship Id="rId5" Type="http://schemas.openxmlformats.org/officeDocument/2006/relationships/webSettings" Target="webSettings.xml"/><Relationship Id="rId15" Type="http://schemas.openxmlformats.org/officeDocument/2006/relationships/hyperlink" Target="http://www.gemasma.com" TargetMode="External"/><Relationship Id="rId10" Type="http://schemas.openxmlformats.org/officeDocument/2006/relationships/hyperlink" Target="mailto:cansotegui@luzan5.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inkohealth.com/cursos/curso/experto-universitario-en-tratamiento-biologico-del-asma-3-edicion-6943116/?utm_source=notaprensa&amp;utm_medium=referral&amp;utm_campaign=bioasm3&amp;utm_content=" TargetMode="Externa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Luzán5">
      <a:dk1>
        <a:sysClr val="windowText" lastClr="000000"/>
      </a:dk1>
      <a:lt1>
        <a:sysClr val="window" lastClr="FFFFFF"/>
      </a:lt1>
      <a:dk2>
        <a:srgbClr val="DF2E2F"/>
      </a:dk2>
      <a:lt2>
        <a:srgbClr val="DBEFEF"/>
      </a:lt2>
      <a:accent1>
        <a:srgbClr val="DF2E2F"/>
      </a:accent1>
      <a:accent2>
        <a:srgbClr val="FF3300"/>
      </a:accent2>
      <a:accent3>
        <a:srgbClr val="0B9B74"/>
      </a:accent3>
      <a:accent4>
        <a:srgbClr val="10CF9B"/>
      </a:accent4>
      <a:accent5>
        <a:srgbClr val="FFC000"/>
      </a:accent5>
      <a:accent6>
        <a:srgbClr val="AB73D5"/>
      </a:accent6>
      <a:hlink>
        <a:srgbClr val="438AD7"/>
      </a:hlink>
      <a:folHlink>
        <a:srgbClr val="76C2E8"/>
      </a:folHlink>
    </a:clrScheme>
    <a:fontScheme name="Luzán5">
      <a:majorFont>
        <a:latin typeface="Raleway Medium"/>
        <a:ea typeface=""/>
        <a:cs typeface=""/>
      </a:majorFont>
      <a:minorFont>
        <a:latin typeface="Ralewa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2A6EA-4898-4E0C-8108-A3DD9462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1166</Words>
  <Characters>6413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Pje. Virgen de la Alegría, 14, 28027, Madrid (España) | Tel: (+34) 914 05 72 60</dc:creator>
  <cp:lastModifiedBy>Luzan 5 Health Consulting</cp:lastModifiedBy>
  <cp:revision>4</cp:revision>
  <cp:lastPrinted>2019-04-24T14:39:00Z</cp:lastPrinted>
  <dcterms:created xsi:type="dcterms:W3CDTF">2022-04-29T05:01:00Z</dcterms:created>
  <dcterms:modified xsi:type="dcterms:W3CDTF">2022-05-03T08:29:00Z</dcterms:modified>
</cp:coreProperties>
</file>